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BE5" w:rsidRPr="00DF2CA8" w:rsidRDefault="00D7721B" w:rsidP="009924B1">
      <w:pPr>
        <w:framePr w:w="2536" w:h="2278" w:hRule="exact" w:wrap="around" w:vAnchor="page" w:hAnchor="page" w:x="9577" w:y="1585" w:anchorLock="1"/>
        <w:spacing w:after="0" w:line="240" w:lineRule="exact"/>
        <w:rPr>
          <w:rFonts w:cs="Arial"/>
          <w:sz w:val="14"/>
        </w:rPr>
      </w:pPr>
      <w:r w:rsidRPr="00DF2CA8">
        <w:rPr>
          <w:rFonts w:cs="Arial"/>
          <w:sz w:val="14"/>
        </w:rPr>
        <w:fldChar w:fldCharType="begin"/>
      </w:r>
      <w:r w:rsidR="00576BE5" w:rsidRPr="00DF2CA8">
        <w:rPr>
          <w:rFonts w:cs="Arial"/>
          <w:sz w:val="14"/>
        </w:rPr>
        <w:instrText xml:space="preserve"> DOCVARIABLE  ENTITY </w:instrText>
      </w:r>
      <w:r w:rsidRPr="00DF2CA8">
        <w:rPr>
          <w:rFonts w:cs="Arial"/>
          <w:sz w:val="14"/>
        </w:rPr>
        <w:fldChar w:fldCharType="separate"/>
      </w:r>
      <w:r w:rsidR="00A13758">
        <w:rPr>
          <w:rFonts w:cs="Arial"/>
          <w:sz w:val="14"/>
        </w:rPr>
        <w:t>ARCADIS</w:t>
      </w:r>
      <w:r w:rsidR="00A37221">
        <w:rPr>
          <w:rFonts w:cs="Arial"/>
          <w:sz w:val="14"/>
        </w:rPr>
        <w:t xml:space="preserve"> U.S., Inc.</w:t>
      </w:r>
      <w:r w:rsidR="00A37221">
        <w:rPr>
          <w:rFonts w:cs="Arial"/>
          <w:sz w:val="14"/>
        </w:rPr>
        <w:tab/>
      </w:r>
      <w:r w:rsidRPr="00DF2CA8">
        <w:rPr>
          <w:rFonts w:cs="Arial"/>
          <w:sz w:val="14"/>
        </w:rPr>
        <w:fldChar w:fldCharType="end"/>
      </w:r>
    </w:p>
    <w:p w:rsidR="00576BE5" w:rsidRDefault="00A37221" w:rsidP="009924B1">
      <w:pPr>
        <w:framePr w:w="2536" w:h="2278" w:hRule="exact" w:wrap="around" w:vAnchor="page" w:hAnchor="page" w:x="9577" w:y="1585" w:anchorLock="1"/>
        <w:spacing w:after="0" w:line="240" w:lineRule="exact"/>
        <w:rPr>
          <w:rFonts w:cs="Arial"/>
          <w:sz w:val="14"/>
        </w:rPr>
      </w:pPr>
      <w:r>
        <w:rPr>
          <w:rFonts w:cs="Arial"/>
          <w:sz w:val="14"/>
        </w:rPr>
        <w:t>One Executive Drive</w:t>
      </w:r>
    </w:p>
    <w:p w:rsidR="00A37221" w:rsidRPr="00DF2CA8" w:rsidRDefault="00A37221" w:rsidP="009924B1">
      <w:pPr>
        <w:framePr w:w="2536" w:h="2278" w:hRule="exact" w:wrap="around" w:vAnchor="page" w:hAnchor="page" w:x="9577" w:y="1585" w:anchorLock="1"/>
        <w:spacing w:after="0" w:line="240" w:lineRule="exact"/>
        <w:rPr>
          <w:rFonts w:cs="Arial"/>
          <w:sz w:val="14"/>
        </w:rPr>
      </w:pPr>
      <w:r>
        <w:rPr>
          <w:rFonts w:cs="Arial"/>
          <w:sz w:val="14"/>
        </w:rPr>
        <w:t>Suite 303</w:t>
      </w:r>
    </w:p>
    <w:p w:rsidR="00576BE5" w:rsidRPr="00DF2CA8" w:rsidRDefault="00A37221" w:rsidP="009924B1">
      <w:pPr>
        <w:framePr w:w="2536" w:h="2278" w:hRule="exact" w:wrap="around" w:vAnchor="page" w:hAnchor="page" w:x="9577" w:y="1585" w:anchorLock="1"/>
        <w:spacing w:after="0" w:line="240" w:lineRule="exact"/>
        <w:rPr>
          <w:rFonts w:cs="Arial"/>
          <w:sz w:val="14"/>
        </w:rPr>
      </w:pPr>
      <w:r>
        <w:rPr>
          <w:rFonts w:cs="Arial"/>
          <w:sz w:val="14"/>
        </w:rPr>
        <w:t>Chelmsford</w:t>
      </w:r>
    </w:p>
    <w:p w:rsidR="00576BE5" w:rsidRPr="00DF2CA8" w:rsidRDefault="00D7721B" w:rsidP="009924B1">
      <w:pPr>
        <w:framePr w:w="2536" w:h="2278" w:hRule="exact" w:wrap="around" w:vAnchor="page" w:hAnchor="page" w:x="9577" w:y="1585" w:anchorLock="1"/>
        <w:spacing w:after="0" w:line="240" w:lineRule="exact"/>
        <w:rPr>
          <w:rFonts w:cs="Arial"/>
          <w:sz w:val="14"/>
        </w:rPr>
      </w:pPr>
      <w:r w:rsidRPr="00DF2CA8">
        <w:rPr>
          <w:rFonts w:cs="Arial"/>
          <w:sz w:val="14"/>
        </w:rPr>
        <w:fldChar w:fldCharType="begin"/>
      </w:r>
      <w:r w:rsidR="00576BE5" w:rsidRPr="00DF2CA8">
        <w:rPr>
          <w:rFonts w:cs="Arial"/>
          <w:sz w:val="14"/>
        </w:rPr>
        <w:instrText xml:space="preserve"> DOCVARIABLE  STATE </w:instrText>
      </w:r>
      <w:r w:rsidRPr="00DF2CA8">
        <w:rPr>
          <w:rFonts w:cs="Arial"/>
          <w:sz w:val="14"/>
        </w:rPr>
        <w:fldChar w:fldCharType="separate"/>
      </w:r>
      <w:r w:rsidR="00A37221">
        <w:rPr>
          <w:rFonts w:cs="Arial"/>
          <w:sz w:val="14"/>
        </w:rPr>
        <w:t>Massachusetts</w:t>
      </w:r>
      <w:r w:rsidRPr="00DF2CA8">
        <w:rPr>
          <w:rFonts w:cs="Arial"/>
          <w:sz w:val="14"/>
        </w:rPr>
        <w:fldChar w:fldCharType="end"/>
      </w:r>
      <w:r w:rsidR="00576BE5" w:rsidRPr="00DF2CA8">
        <w:rPr>
          <w:rFonts w:cs="Arial"/>
          <w:sz w:val="14"/>
        </w:rPr>
        <w:t xml:space="preserve"> </w:t>
      </w:r>
      <w:r w:rsidRPr="00DF2CA8">
        <w:rPr>
          <w:rFonts w:cs="Arial"/>
          <w:sz w:val="14"/>
        </w:rPr>
        <w:fldChar w:fldCharType="begin"/>
      </w:r>
      <w:r w:rsidR="00576BE5" w:rsidRPr="00DF2CA8">
        <w:rPr>
          <w:rFonts w:cs="Arial"/>
          <w:sz w:val="14"/>
        </w:rPr>
        <w:instrText xml:space="preserve"> DOCVARIABLE  ZIP </w:instrText>
      </w:r>
      <w:r w:rsidRPr="00DF2CA8">
        <w:rPr>
          <w:rFonts w:cs="Arial"/>
          <w:sz w:val="14"/>
        </w:rPr>
        <w:fldChar w:fldCharType="separate"/>
      </w:r>
      <w:r w:rsidR="00A37221">
        <w:rPr>
          <w:rFonts w:cs="Arial"/>
          <w:sz w:val="14"/>
        </w:rPr>
        <w:t>01824-2566</w:t>
      </w:r>
      <w:r w:rsidRPr="00DF2CA8">
        <w:rPr>
          <w:rFonts w:cs="Arial"/>
          <w:sz w:val="14"/>
        </w:rPr>
        <w:fldChar w:fldCharType="end"/>
      </w:r>
    </w:p>
    <w:p w:rsidR="00576BE5" w:rsidRPr="00DF2CA8" w:rsidRDefault="00576BE5" w:rsidP="009924B1">
      <w:pPr>
        <w:framePr w:w="2536" w:h="2278" w:hRule="exact" w:wrap="around" w:vAnchor="page" w:hAnchor="page" w:x="9577" w:y="1585" w:anchorLock="1"/>
        <w:spacing w:after="0" w:line="240" w:lineRule="exact"/>
        <w:rPr>
          <w:rFonts w:cs="Arial"/>
          <w:sz w:val="14"/>
        </w:rPr>
      </w:pPr>
      <w:r w:rsidRPr="00DF2CA8">
        <w:rPr>
          <w:rFonts w:cs="Arial"/>
          <w:sz w:val="14"/>
        </w:rPr>
        <w:t xml:space="preserve">Tel </w:t>
      </w:r>
      <w:r w:rsidR="00D7721B" w:rsidRPr="00DF2CA8">
        <w:rPr>
          <w:rFonts w:cs="Arial"/>
          <w:sz w:val="14"/>
        </w:rPr>
        <w:fldChar w:fldCharType="begin"/>
      </w:r>
      <w:r w:rsidRPr="00DF2CA8">
        <w:rPr>
          <w:rFonts w:cs="Arial"/>
          <w:sz w:val="14"/>
        </w:rPr>
        <w:instrText xml:space="preserve"> DOCVARIABLE  PHONE </w:instrText>
      </w:r>
      <w:r w:rsidR="00D7721B" w:rsidRPr="00DF2CA8">
        <w:rPr>
          <w:rFonts w:cs="Arial"/>
          <w:sz w:val="14"/>
        </w:rPr>
        <w:fldChar w:fldCharType="separate"/>
      </w:r>
      <w:r w:rsidR="00A37221">
        <w:rPr>
          <w:rFonts w:cs="Arial"/>
          <w:sz w:val="14"/>
        </w:rPr>
        <w:t>978</w:t>
      </w:r>
      <w:r w:rsidR="00A13758">
        <w:rPr>
          <w:rFonts w:cs="Arial"/>
          <w:sz w:val="14"/>
        </w:rPr>
        <w:t>.</w:t>
      </w:r>
      <w:r w:rsidR="00A37221">
        <w:rPr>
          <w:rFonts w:cs="Arial"/>
          <w:sz w:val="14"/>
        </w:rPr>
        <w:t>937</w:t>
      </w:r>
      <w:r w:rsidR="00A13758">
        <w:rPr>
          <w:rFonts w:cs="Arial"/>
          <w:sz w:val="14"/>
        </w:rPr>
        <w:t>.</w:t>
      </w:r>
      <w:r w:rsidR="00A37221">
        <w:rPr>
          <w:rFonts w:cs="Arial"/>
          <w:sz w:val="14"/>
        </w:rPr>
        <w:t>999</w:t>
      </w:r>
      <w:r w:rsidR="00A13758">
        <w:rPr>
          <w:rFonts w:cs="Arial"/>
          <w:sz w:val="14"/>
        </w:rPr>
        <w:t>9</w:t>
      </w:r>
      <w:r w:rsidR="00D7721B" w:rsidRPr="00DF2CA8">
        <w:rPr>
          <w:rFonts w:cs="Arial"/>
          <w:sz w:val="14"/>
        </w:rPr>
        <w:fldChar w:fldCharType="end"/>
      </w:r>
    </w:p>
    <w:p w:rsidR="00576BE5" w:rsidRDefault="00576BE5" w:rsidP="009924B1">
      <w:pPr>
        <w:framePr w:w="2536" w:h="2278" w:hRule="exact" w:wrap="around" w:vAnchor="page" w:hAnchor="page" w:x="9577" w:y="1585" w:anchorLock="1"/>
        <w:spacing w:after="0" w:line="240" w:lineRule="exact"/>
        <w:rPr>
          <w:rFonts w:cs="Arial"/>
          <w:sz w:val="14"/>
        </w:rPr>
      </w:pPr>
      <w:r w:rsidRPr="00DF2CA8">
        <w:rPr>
          <w:rFonts w:cs="Arial"/>
          <w:sz w:val="14"/>
        </w:rPr>
        <w:t xml:space="preserve">Fax </w:t>
      </w:r>
      <w:r w:rsidR="00D7721B" w:rsidRPr="00DF2CA8">
        <w:rPr>
          <w:rFonts w:cs="Arial"/>
          <w:sz w:val="14"/>
        </w:rPr>
        <w:fldChar w:fldCharType="begin"/>
      </w:r>
      <w:r w:rsidRPr="00DF2CA8">
        <w:rPr>
          <w:rFonts w:cs="Arial"/>
          <w:sz w:val="14"/>
        </w:rPr>
        <w:instrText xml:space="preserve"> DOCVARIABLE  FAX </w:instrText>
      </w:r>
      <w:r w:rsidR="00D7721B" w:rsidRPr="00DF2CA8">
        <w:rPr>
          <w:rFonts w:cs="Arial"/>
          <w:sz w:val="14"/>
        </w:rPr>
        <w:fldChar w:fldCharType="separate"/>
      </w:r>
      <w:r w:rsidR="00A37221">
        <w:rPr>
          <w:rFonts w:cs="Arial"/>
          <w:sz w:val="14"/>
        </w:rPr>
        <w:t>978</w:t>
      </w:r>
      <w:r w:rsidR="00A13758">
        <w:rPr>
          <w:rFonts w:cs="Arial"/>
          <w:sz w:val="14"/>
        </w:rPr>
        <w:t>.</w:t>
      </w:r>
      <w:r w:rsidR="00A37221">
        <w:rPr>
          <w:rFonts w:cs="Arial"/>
          <w:sz w:val="14"/>
        </w:rPr>
        <w:t>937</w:t>
      </w:r>
      <w:r w:rsidR="00A13758">
        <w:rPr>
          <w:rFonts w:cs="Arial"/>
          <w:sz w:val="14"/>
        </w:rPr>
        <w:t>.</w:t>
      </w:r>
      <w:r w:rsidR="00A37221">
        <w:rPr>
          <w:rFonts w:cs="Arial"/>
          <w:sz w:val="14"/>
        </w:rPr>
        <w:t>7555</w:t>
      </w:r>
      <w:r w:rsidR="00D7721B" w:rsidRPr="00DF2CA8">
        <w:rPr>
          <w:rFonts w:cs="Arial"/>
          <w:sz w:val="14"/>
        </w:rPr>
        <w:fldChar w:fldCharType="end"/>
      </w:r>
    </w:p>
    <w:p w:rsidR="008E774C" w:rsidRDefault="008E774C" w:rsidP="009924B1">
      <w:pPr>
        <w:framePr w:w="2536" w:h="2278" w:hRule="exact" w:wrap="around" w:vAnchor="page" w:hAnchor="page" w:x="9577" w:y="1585" w:anchorLock="1"/>
        <w:spacing w:after="0" w:line="240" w:lineRule="exact"/>
        <w:rPr>
          <w:rFonts w:cs="Arial"/>
          <w:sz w:val="14"/>
        </w:rPr>
      </w:pPr>
    </w:p>
    <w:p w:rsidR="008E774C" w:rsidRDefault="008E774C" w:rsidP="009924B1">
      <w:pPr>
        <w:framePr w:w="2536" w:h="2278" w:hRule="exact" w:wrap="around" w:vAnchor="page" w:hAnchor="page" w:x="9577" w:y="1585" w:anchorLock="1"/>
        <w:spacing w:after="0" w:line="240" w:lineRule="exact"/>
        <w:rPr>
          <w:rFonts w:cs="Arial"/>
          <w:sz w:val="14"/>
        </w:rPr>
      </w:pPr>
    </w:p>
    <w:tbl>
      <w:tblPr>
        <w:tblW w:w="2500" w:type="dxa"/>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2500"/>
      </w:tblGrid>
      <w:tr w:rsidR="00A13758" w:rsidTr="00A13758">
        <w:trPr>
          <w:trHeight w:val="405"/>
        </w:trPr>
        <w:tc>
          <w:tcPr>
            <w:tcW w:w="2500" w:type="dxa"/>
            <w:shd w:val="clear" w:color="auto" w:fill="auto"/>
            <w:tcMar>
              <w:top w:w="15" w:type="dxa"/>
              <w:left w:w="15" w:type="dxa"/>
              <w:bottom w:w="0" w:type="dxa"/>
              <w:right w:w="15" w:type="dxa"/>
            </w:tcMar>
            <w:vAlign w:val="bottom"/>
            <w:hideMark/>
          </w:tcPr>
          <w:p w:rsidR="00A13758" w:rsidRDefault="00A13758" w:rsidP="009924B1">
            <w:pPr>
              <w:framePr w:w="2536" w:h="2278" w:hRule="exact" w:wrap="around" w:vAnchor="page" w:hAnchor="page" w:x="9577" w:y="1585" w:anchorLock="1"/>
              <w:spacing w:line="240" w:lineRule="auto"/>
              <w:rPr>
                <w:rFonts w:cs="Arial"/>
                <w:sz w:val="12"/>
                <w:szCs w:val="12"/>
              </w:rPr>
            </w:pPr>
          </w:p>
        </w:tc>
      </w:tr>
    </w:tbl>
    <w:p w:rsidR="008E774C" w:rsidRPr="008E774C" w:rsidRDefault="008E774C" w:rsidP="009924B1">
      <w:pPr>
        <w:framePr w:w="2536" w:h="2278" w:hRule="exact" w:wrap="around" w:vAnchor="page" w:hAnchor="page" w:x="9577" w:y="1585" w:anchorLock="1"/>
        <w:spacing w:after="0" w:line="240" w:lineRule="exact"/>
        <w:rPr>
          <w:rFonts w:cs="Arial"/>
          <w:sz w:val="12"/>
          <w:szCs w:val="12"/>
        </w:rPr>
      </w:pPr>
    </w:p>
    <w:p w:rsidR="008E774C" w:rsidRPr="00DF2CA8" w:rsidRDefault="008E774C" w:rsidP="009924B1">
      <w:pPr>
        <w:framePr w:w="2536" w:h="2278" w:hRule="exact" w:wrap="around" w:vAnchor="page" w:hAnchor="page" w:x="9577" w:y="1585" w:anchorLock="1"/>
        <w:spacing w:after="0" w:line="240" w:lineRule="exact"/>
        <w:rPr>
          <w:rFonts w:cs="Arial"/>
          <w:sz w:val="14"/>
        </w:rPr>
      </w:pPr>
    </w:p>
    <w:p w:rsidR="002C74A0" w:rsidRPr="004C6AD7" w:rsidRDefault="002C74A0" w:rsidP="00D80F77">
      <w:pPr>
        <w:pStyle w:val="TableHeading"/>
        <w:outlineLvl w:val="0"/>
        <w:rPr>
          <w:rFonts w:cs="Arial"/>
          <w:sz w:val="16"/>
        </w:rPr>
      </w:pPr>
      <w:r w:rsidRPr="004C6AD7">
        <w:rPr>
          <w:rFonts w:cs="Arial"/>
          <w:sz w:val="16"/>
        </w:rPr>
        <w:t>MEMO</w:t>
      </w:r>
    </w:p>
    <w:tbl>
      <w:tblPr>
        <w:tblW w:w="8064" w:type="dxa"/>
        <w:tblLayout w:type="fixed"/>
        <w:tblLook w:val="0000"/>
      </w:tblPr>
      <w:tblGrid>
        <w:gridCol w:w="4476"/>
        <w:gridCol w:w="3588"/>
      </w:tblGrid>
      <w:tr w:rsidR="002C74A0" w:rsidTr="00B87CDB">
        <w:trPr>
          <w:trHeight w:hRule="exact" w:val="1436"/>
        </w:trPr>
        <w:tc>
          <w:tcPr>
            <w:tcW w:w="4476" w:type="dxa"/>
          </w:tcPr>
          <w:p w:rsidR="002C74A0" w:rsidRPr="004C6AD7" w:rsidRDefault="002C74A0" w:rsidP="007E00E9">
            <w:pPr>
              <w:spacing w:after="0" w:line="240" w:lineRule="exact"/>
              <w:rPr>
                <w:rFonts w:cs="Arial"/>
                <w:sz w:val="13"/>
              </w:rPr>
            </w:pPr>
            <w:r w:rsidRPr="004C6AD7">
              <w:rPr>
                <w:rFonts w:cs="Arial"/>
                <w:sz w:val="13"/>
              </w:rPr>
              <w:t>To:</w:t>
            </w:r>
          </w:p>
          <w:p w:rsidR="00697BFC" w:rsidRPr="004F2F1A" w:rsidRDefault="004F2F1A" w:rsidP="00697BFC">
            <w:pPr>
              <w:spacing w:after="0"/>
            </w:pPr>
            <w:r w:rsidRPr="004F2F1A">
              <w:t xml:space="preserve">Toxicology Excellence in Risk Assessment </w:t>
            </w:r>
          </w:p>
          <w:p w:rsidR="004F2F1A" w:rsidRPr="004B5350" w:rsidRDefault="004F2F1A" w:rsidP="00697BFC">
            <w:pPr>
              <w:spacing w:after="0"/>
              <w:rPr>
                <w:rFonts w:cs="Arial"/>
                <w:lang w:val="en-GB"/>
              </w:rPr>
            </w:pPr>
            <w:r w:rsidRPr="004F2F1A">
              <w:t>Sulfolane Peer Review Meeting</w:t>
            </w:r>
          </w:p>
          <w:p w:rsidR="004763EE" w:rsidRPr="004763EE" w:rsidRDefault="004763EE" w:rsidP="004763EE">
            <w:pPr>
              <w:pStyle w:val="Header"/>
              <w:spacing w:after="0" w:line="240" w:lineRule="exact"/>
              <w:rPr>
                <w:rFonts w:cs="Arial"/>
              </w:rPr>
            </w:pPr>
          </w:p>
        </w:tc>
        <w:tc>
          <w:tcPr>
            <w:tcW w:w="3588" w:type="dxa"/>
          </w:tcPr>
          <w:p w:rsidR="002C74A0" w:rsidRPr="004C6AD7" w:rsidRDefault="002C74A0" w:rsidP="007E00E9">
            <w:pPr>
              <w:spacing w:after="0" w:line="240" w:lineRule="exact"/>
              <w:rPr>
                <w:rFonts w:cs="Arial"/>
                <w:sz w:val="13"/>
              </w:rPr>
            </w:pPr>
            <w:r w:rsidRPr="004C6AD7">
              <w:rPr>
                <w:rFonts w:cs="Arial"/>
                <w:sz w:val="13"/>
              </w:rPr>
              <w:t>Copies:</w:t>
            </w:r>
          </w:p>
          <w:p w:rsidR="00EB0005" w:rsidRPr="00AA3F23" w:rsidRDefault="00EB0005" w:rsidP="007E00E9">
            <w:pPr>
              <w:spacing w:after="0" w:line="240" w:lineRule="exact"/>
              <w:rPr>
                <w:rFonts w:cs="Arial"/>
                <w:sz w:val="13"/>
              </w:rPr>
            </w:pPr>
          </w:p>
        </w:tc>
      </w:tr>
      <w:tr w:rsidR="002C74A0" w:rsidRPr="004C6AD7" w:rsidTr="00B87CDB">
        <w:trPr>
          <w:trHeight w:val="135"/>
        </w:trPr>
        <w:tc>
          <w:tcPr>
            <w:tcW w:w="4476" w:type="dxa"/>
          </w:tcPr>
          <w:p w:rsidR="002C74A0" w:rsidRPr="004C6AD7" w:rsidRDefault="002C74A0" w:rsidP="007E00E9">
            <w:pPr>
              <w:spacing w:before="220" w:after="0" w:line="240" w:lineRule="exact"/>
              <w:rPr>
                <w:rFonts w:cs="Arial"/>
                <w:sz w:val="13"/>
              </w:rPr>
            </w:pPr>
            <w:r w:rsidRPr="004C6AD7">
              <w:rPr>
                <w:rFonts w:cs="Arial"/>
                <w:sz w:val="13"/>
              </w:rPr>
              <w:t>From:</w:t>
            </w:r>
          </w:p>
        </w:tc>
        <w:tc>
          <w:tcPr>
            <w:tcW w:w="3588" w:type="dxa"/>
          </w:tcPr>
          <w:p w:rsidR="002C74A0" w:rsidRPr="004C6AD7" w:rsidRDefault="002C74A0" w:rsidP="007E00E9">
            <w:pPr>
              <w:spacing w:before="220" w:after="0" w:line="240" w:lineRule="exact"/>
              <w:rPr>
                <w:rFonts w:cs="Arial"/>
                <w:sz w:val="13"/>
              </w:rPr>
            </w:pPr>
          </w:p>
        </w:tc>
      </w:tr>
      <w:tr w:rsidR="002C74A0" w:rsidTr="008A7C3C">
        <w:trPr>
          <w:trHeight w:hRule="exact" w:val="558"/>
        </w:trPr>
        <w:tc>
          <w:tcPr>
            <w:tcW w:w="4476" w:type="dxa"/>
          </w:tcPr>
          <w:p w:rsidR="002C74A0" w:rsidRDefault="00990FA6" w:rsidP="007E00E9">
            <w:pPr>
              <w:pStyle w:val="Header"/>
              <w:spacing w:after="0" w:line="240" w:lineRule="exact"/>
            </w:pPr>
            <w:r>
              <w:t>Brian Magee</w:t>
            </w:r>
            <w:r w:rsidR="004959DC">
              <w:t>, Ph.D.</w:t>
            </w:r>
            <w:r w:rsidR="00B864BF">
              <w:br/>
            </w:r>
            <w:r>
              <w:t>Vice President, Principal Toxicologist</w:t>
            </w:r>
          </w:p>
          <w:p w:rsidR="002C74A0" w:rsidRDefault="002C74A0" w:rsidP="007E00E9">
            <w:pPr>
              <w:spacing w:after="0" w:line="240" w:lineRule="exact"/>
            </w:pPr>
          </w:p>
        </w:tc>
        <w:tc>
          <w:tcPr>
            <w:tcW w:w="3588" w:type="dxa"/>
          </w:tcPr>
          <w:p w:rsidR="002C74A0" w:rsidRDefault="002C74A0" w:rsidP="007E00E9">
            <w:pPr>
              <w:spacing w:after="0" w:line="240" w:lineRule="exact"/>
            </w:pPr>
          </w:p>
        </w:tc>
      </w:tr>
      <w:tr w:rsidR="002C74A0" w:rsidRPr="004C6AD7" w:rsidTr="00B87CDB">
        <w:trPr>
          <w:trHeight w:val="259"/>
        </w:trPr>
        <w:tc>
          <w:tcPr>
            <w:tcW w:w="4476" w:type="dxa"/>
          </w:tcPr>
          <w:p w:rsidR="002C74A0" w:rsidRPr="004C6AD7" w:rsidRDefault="002C74A0" w:rsidP="007E00E9">
            <w:pPr>
              <w:spacing w:before="220" w:after="0" w:line="240" w:lineRule="exact"/>
              <w:rPr>
                <w:rFonts w:cs="Arial"/>
                <w:sz w:val="13"/>
              </w:rPr>
            </w:pPr>
            <w:r w:rsidRPr="004C6AD7">
              <w:rPr>
                <w:rFonts w:cs="Arial"/>
                <w:sz w:val="13"/>
              </w:rPr>
              <w:t>Date:</w:t>
            </w:r>
          </w:p>
        </w:tc>
        <w:tc>
          <w:tcPr>
            <w:tcW w:w="3588" w:type="dxa"/>
          </w:tcPr>
          <w:p w:rsidR="002C74A0" w:rsidRPr="004C6AD7" w:rsidRDefault="002C74A0" w:rsidP="007E00E9">
            <w:pPr>
              <w:spacing w:before="220" w:after="0" w:line="240" w:lineRule="exact"/>
              <w:rPr>
                <w:rFonts w:cs="Arial"/>
                <w:sz w:val="13"/>
              </w:rPr>
            </w:pPr>
          </w:p>
        </w:tc>
      </w:tr>
      <w:tr w:rsidR="002C74A0" w:rsidTr="00B87CDB">
        <w:trPr>
          <w:trHeight w:val="120"/>
        </w:trPr>
        <w:tc>
          <w:tcPr>
            <w:tcW w:w="4476" w:type="dxa"/>
          </w:tcPr>
          <w:p w:rsidR="002C74A0" w:rsidRDefault="00872D14" w:rsidP="00431929">
            <w:pPr>
              <w:spacing w:after="0" w:line="240" w:lineRule="exact"/>
            </w:pPr>
            <w:r>
              <w:t xml:space="preserve">September </w:t>
            </w:r>
            <w:r w:rsidR="00431929">
              <w:t>8</w:t>
            </w:r>
            <w:r>
              <w:t>, 2014</w:t>
            </w:r>
          </w:p>
        </w:tc>
        <w:tc>
          <w:tcPr>
            <w:tcW w:w="3588" w:type="dxa"/>
          </w:tcPr>
          <w:p w:rsidR="002C74A0" w:rsidRDefault="002C74A0" w:rsidP="006962B3">
            <w:pPr>
              <w:spacing w:after="0" w:line="255" w:lineRule="exact"/>
            </w:pPr>
            <w:bookmarkStart w:id="0" w:name="_GoBack"/>
            <w:bookmarkEnd w:id="0"/>
          </w:p>
        </w:tc>
      </w:tr>
      <w:tr w:rsidR="002C74A0" w:rsidRPr="004C6AD7" w:rsidTr="00B87CDB">
        <w:trPr>
          <w:trHeight w:val="380"/>
        </w:trPr>
        <w:tc>
          <w:tcPr>
            <w:tcW w:w="4476" w:type="dxa"/>
          </w:tcPr>
          <w:p w:rsidR="002C74A0" w:rsidRPr="004C6AD7" w:rsidRDefault="002C74A0" w:rsidP="007E00E9">
            <w:pPr>
              <w:spacing w:before="220" w:after="0" w:line="240" w:lineRule="exact"/>
              <w:rPr>
                <w:rFonts w:cs="Arial"/>
                <w:sz w:val="13"/>
              </w:rPr>
            </w:pPr>
            <w:r w:rsidRPr="004C6AD7">
              <w:rPr>
                <w:rFonts w:cs="Arial"/>
                <w:sz w:val="13"/>
              </w:rPr>
              <w:t>Subject:</w:t>
            </w:r>
          </w:p>
        </w:tc>
        <w:tc>
          <w:tcPr>
            <w:tcW w:w="3588" w:type="dxa"/>
          </w:tcPr>
          <w:p w:rsidR="002C74A0" w:rsidRPr="004C6AD7" w:rsidRDefault="002C74A0" w:rsidP="007E00E9">
            <w:pPr>
              <w:spacing w:before="220" w:after="0" w:line="240" w:lineRule="exact"/>
              <w:rPr>
                <w:rFonts w:cs="Arial"/>
                <w:sz w:val="13"/>
              </w:rPr>
            </w:pPr>
          </w:p>
        </w:tc>
      </w:tr>
      <w:tr w:rsidR="002C74A0" w:rsidTr="00B87CDB">
        <w:trPr>
          <w:cantSplit/>
          <w:trHeight w:val="171"/>
        </w:trPr>
        <w:tc>
          <w:tcPr>
            <w:tcW w:w="8064" w:type="dxa"/>
            <w:gridSpan w:val="2"/>
          </w:tcPr>
          <w:p w:rsidR="004763EE" w:rsidRDefault="00990FA6" w:rsidP="00314DAA">
            <w:pPr>
              <w:pStyle w:val="Header"/>
              <w:spacing w:after="0" w:line="240" w:lineRule="exact"/>
            </w:pPr>
            <w:r>
              <w:t xml:space="preserve">Response to Comments Made in Gradient’s </w:t>
            </w:r>
            <w:r w:rsidR="001F5DC6">
              <w:t>Review and Verification of Existing Sulfolane Dose-Response Assessments</w:t>
            </w:r>
          </w:p>
        </w:tc>
      </w:tr>
      <w:tr w:rsidR="004763EE" w:rsidTr="00B87CDB">
        <w:trPr>
          <w:cantSplit/>
          <w:trHeight w:val="171"/>
        </w:trPr>
        <w:tc>
          <w:tcPr>
            <w:tcW w:w="8064" w:type="dxa"/>
            <w:gridSpan w:val="2"/>
          </w:tcPr>
          <w:p w:rsidR="004763EE" w:rsidRDefault="004763EE" w:rsidP="004325B9">
            <w:pPr>
              <w:pStyle w:val="Header"/>
              <w:spacing w:after="0" w:line="240" w:lineRule="exact"/>
            </w:pPr>
          </w:p>
        </w:tc>
      </w:tr>
    </w:tbl>
    <w:p w:rsidR="00990FA6" w:rsidRDefault="00D7721B" w:rsidP="00877345">
      <w:r>
        <w:rPr>
          <w:noProof/>
        </w:rPr>
        <w:pict>
          <v:line id="Line 2" o:spid="_x0000_s1026" style="position:absolute;z-index:251657728;visibility:visible;mso-wrap-style:square;mso-width-percent:0;mso-height-percent:0;mso-wrap-distance-left:9pt;mso-wrap-distance-top:7.2pt;mso-wrap-distance-right:9pt;mso-wrap-distance-bottom:14.4pt;mso-position-horizontal:absolute;mso-position-horizontal-relative:margin;mso-position-vertical:absolute;mso-position-vertical-relative:page;mso-width-percent:0;mso-height-percent:0;mso-width-relative:page;mso-height-relative:page" from="-24.9pt,327.9pt" to="488.25pt,3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" strokeweight=".3pt">
            <v:stroke startarrowwidth="wide" startarrowlength="short" endarrowwidth="wide" endarrowlength="short"/>
            <w10:wrap anchorx="margin" anchory="page"/>
          </v:line>
        </w:pict>
      </w:r>
      <w:r w:rsidR="004F2F1A">
        <w:t>T</w:t>
      </w:r>
      <w:r w:rsidR="00A13758">
        <w:t>his memo</w:t>
      </w:r>
      <w:r w:rsidR="00697BFC">
        <w:t>randum</w:t>
      </w:r>
      <w:r w:rsidR="00A13758">
        <w:t xml:space="preserve"> </w:t>
      </w:r>
      <w:r w:rsidR="00147CFF">
        <w:t xml:space="preserve">responds to </w:t>
      </w:r>
      <w:r w:rsidR="007D7400">
        <w:t>comments</w:t>
      </w:r>
      <w:r w:rsidR="00D50EF3">
        <w:t xml:space="preserve"> made in</w:t>
      </w:r>
      <w:r w:rsidR="00990FA6">
        <w:t xml:space="preserve"> </w:t>
      </w:r>
      <w:r w:rsidR="00990FA6" w:rsidRPr="00990FA6">
        <w:rPr>
          <w:i/>
        </w:rPr>
        <w:t>Review and Verification of Existing Sulfolane Dose-Response Assessments</w:t>
      </w:r>
      <w:r w:rsidR="00990FA6">
        <w:t xml:space="preserve"> (2014)</w:t>
      </w:r>
      <w:r w:rsidR="00F30F24">
        <w:t xml:space="preserve">, prepared by Gradient </w:t>
      </w:r>
      <w:r w:rsidR="00425C43">
        <w:t>Corporation</w:t>
      </w:r>
      <w:r w:rsidR="001E7D23">
        <w:t xml:space="preserve"> (Gradient) </w:t>
      </w:r>
      <w:r w:rsidR="00F30F24">
        <w:t xml:space="preserve">for </w:t>
      </w:r>
      <w:r w:rsidR="003B2161">
        <w:t xml:space="preserve">the </w:t>
      </w:r>
      <w:r w:rsidR="00F30F24">
        <w:t>Alaska Department of Environmental Conservation</w:t>
      </w:r>
      <w:r w:rsidR="00425C43">
        <w:t xml:space="preserve"> (ADEC)</w:t>
      </w:r>
      <w:r w:rsidR="00F30F24">
        <w:t>,</w:t>
      </w:r>
      <w:r w:rsidR="00E17FD0">
        <w:t xml:space="preserve"> in regards to ARCADIS’ derivation of an oral reference dose for sulfolane</w:t>
      </w:r>
      <w:r w:rsidR="00990FA6">
        <w:t xml:space="preserve">. The information in </w:t>
      </w:r>
      <w:r w:rsidR="00A64242">
        <w:t>this</w:t>
      </w:r>
      <w:r w:rsidR="00990FA6">
        <w:t xml:space="preserve"> memorandum </w:t>
      </w:r>
      <w:r w:rsidR="00FA3A01">
        <w:t>clarifies</w:t>
      </w:r>
      <w:r w:rsidR="007D7400">
        <w:t xml:space="preserve"> activities performed by ARCADIS </w:t>
      </w:r>
      <w:r w:rsidR="004F2F1A">
        <w:t xml:space="preserve">(Magee, 2012) </w:t>
      </w:r>
      <w:r w:rsidR="00A64242">
        <w:t xml:space="preserve">during </w:t>
      </w:r>
      <w:r w:rsidR="00EF6758">
        <w:t>its</w:t>
      </w:r>
      <w:r w:rsidR="007D7400">
        <w:t xml:space="preserve"> independent deriv</w:t>
      </w:r>
      <w:r w:rsidR="00A64242">
        <w:t>ation of</w:t>
      </w:r>
      <w:r w:rsidR="007D7400">
        <w:t xml:space="preserve"> an oral reference dose (RfD</w:t>
      </w:r>
      <w:r w:rsidR="001906C8" w:rsidRPr="001906C8">
        <w:rPr>
          <w:vertAlign w:val="subscript"/>
        </w:rPr>
        <w:t>O</w:t>
      </w:r>
      <w:r w:rsidR="007D7400">
        <w:t>) for sulfol</w:t>
      </w:r>
      <w:r w:rsidR="001E7D23">
        <w:t>a</w:t>
      </w:r>
      <w:r w:rsidR="007D7400">
        <w:t xml:space="preserve">ne in support of developing a groundwater cleanup level </w:t>
      </w:r>
      <w:r w:rsidR="003152B3">
        <w:t>included in the 2012 Revised Draft Human Health Risk Assessment</w:t>
      </w:r>
      <w:r w:rsidR="007B1690">
        <w:t xml:space="preserve"> (HHRA)</w:t>
      </w:r>
      <w:r w:rsidR="003152B3">
        <w:t xml:space="preserve"> (copy attached) </w:t>
      </w:r>
      <w:r w:rsidR="007D7400">
        <w:t xml:space="preserve">for </w:t>
      </w:r>
      <w:r w:rsidR="003152B3">
        <w:t xml:space="preserve">the </w:t>
      </w:r>
      <w:r w:rsidR="007D7400">
        <w:t xml:space="preserve">North Pole Refinery, North Pole, Alaska. </w:t>
      </w:r>
      <w:r w:rsidR="00990FA6">
        <w:t xml:space="preserve"> </w:t>
      </w:r>
    </w:p>
    <w:p w:rsidR="00C9240F" w:rsidRDefault="008D5435" w:rsidP="00877345">
      <w:r w:rsidRPr="008D5435">
        <w:rPr>
          <w:b/>
        </w:rPr>
        <w:t>COMMENT 1</w:t>
      </w:r>
      <w:r>
        <w:t xml:space="preserve">: </w:t>
      </w:r>
      <w:r w:rsidR="00FF3A6B">
        <w:t xml:space="preserve">In reference to Magee (2012), </w:t>
      </w:r>
      <w:r w:rsidR="00D6046E">
        <w:t xml:space="preserve">Gradient </w:t>
      </w:r>
      <w:r w:rsidR="003B2161">
        <w:t xml:space="preserve">(2014) </w:t>
      </w:r>
      <w:r w:rsidR="00D6046E">
        <w:t>state</w:t>
      </w:r>
      <w:r w:rsidR="00FF3A6B">
        <w:t>s on page 5</w:t>
      </w:r>
      <w:r w:rsidR="00D6046E">
        <w:t xml:space="preserve"> that</w:t>
      </w:r>
      <w:r>
        <w:t>:</w:t>
      </w:r>
      <w:r w:rsidR="007D7400">
        <w:t xml:space="preserve"> </w:t>
      </w:r>
    </w:p>
    <w:p w:rsidR="007D7400" w:rsidRDefault="007D7400" w:rsidP="00C9240F">
      <w:pPr>
        <w:ind w:left="720"/>
      </w:pPr>
      <w:r>
        <w:t>“</w:t>
      </w:r>
      <w:r w:rsidRPr="00FF3A6B">
        <w:rPr>
          <w:i/>
        </w:rPr>
        <w:t>ARCADIS did not report any alternative BMD analyses, rather provided only a critique of existing analyses</w:t>
      </w:r>
      <w:r w:rsidR="00FF3A6B">
        <w:t>.”</w:t>
      </w:r>
    </w:p>
    <w:p w:rsidR="008D3A44" w:rsidRDefault="008D5435" w:rsidP="008D3A44">
      <w:r w:rsidRPr="008D5435">
        <w:rPr>
          <w:b/>
        </w:rPr>
        <w:t>RESPONSE 1</w:t>
      </w:r>
      <w:r>
        <w:t>:</w:t>
      </w:r>
      <w:r w:rsidR="001937AA">
        <w:t xml:space="preserve"> </w:t>
      </w:r>
      <w:r w:rsidR="008D3A44">
        <w:t>ARCADIS</w:t>
      </w:r>
      <w:r w:rsidR="007B1690">
        <w:t>’ study of the human health impacts of sulfolane related to the North Pole Refinery Site is described in the 2012</w:t>
      </w:r>
      <w:r w:rsidR="008D3A44">
        <w:t xml:space="preserve"> </w:t>
      </w:r>
      <w:r w:rsidR="007B1690" w:rsidRPr="007B1690">
        <w:t>Revised Draft H</w:t>
      </w:r>
      <w:r w:rsidR="007B1690">
        <w:t xml:space="preserve">HRA in which it independently </w:t>
      </w:r>
      <w:r w:rsidR="00284F1B">
        <w:t>identified primary toxicology studies</w:t>
      </w:r>
      <w:r w:rsidR="00A30498">
        <w:t xml:space="preserve"> with relevant data</w:t>
      </w:r>
      <w:r w:rsidR="00284F1B">
        <w:t xml:space="preserve">, evaluated the strength of each data set, and </w:t>
      </w:r>
      <w:r w:rsidR="00A30498">
        <w:t>performed</w:t>
      </w:r>
      <w:r w:rsidR="008D3A44">
        <w:t xml:space="preserve"> </w:t>
      </w:r>
      <w:r w:rsidR="001E7D23">
        <w:t xml:space="preserve">Benchmark </w:t>
      </w:r>
      <w:proofErr w:type="spellStart"/>
      <w:r w:rsidR="001E7D23">
        <w:t>Dose</w:t>
      </w:r>
      <w:r w:rsidR="001E7D23" w:rsidRPr="001E7D23">
        <w:rPr>
          <w:vertAlign w:val="subscript"/>
        </w:rPr>
        <w:t>Low</w:t>
      </w:r>
      <w:proofErr w:type="spellEnd"/>
      <w:r w:rsidR="001E7D23" w:rsidRPr="001E7D23">
        <w:rPr>
          <w:vertAlign w:val="subscript"/>
        </w:rPr>
        <w:t xml:space="preserve"> </w:t>
      </w:r>
      <w:r w:rsidR="001E7D23">
        <w:t>(</w:t>
      </w:r>
      <w:r w:rsidR="00A30498">
        <w:t>BMDL</w:t>
      </w:r>
      <w:r w:rsidR="001E7D23">
        <w:t>)</w:t>
      </w:r>
      <w:r w:rsidR="00A30498">
        <w:t xml:space="preserve"> analyses</w:t>
      </w:r>
      <w:r w:rsidR="008D3A44">
        <w:t xml:space="preserve"> using the biological effects data</w:t>
      </w:r>
      <w:r w:rsidR="00284F1B">
        <w:t xml:space="preserve"> </w:t>
      </w:r>
      <w:r w:rsidR="008D3A44">
        <w:t xml:space="preserve">reported in the Huntingdon Life Sciences (2001) study </w:t>
      </w:r>
      <w:r w:rsidR="001E7D23">
        <w:t xml:space="preserve">and </w:t>
      </w:r>
      <w:r w:rsidR="00284F1B">
        <w:t>adhering to</w:t>
      </w:r>
      <w:r w:rsidR="008D3A44">
        <w:t xml:space="preserve"> EPA guidance</w:t>
      </w:r>
      <w:r w:rsidR="00A72CA8">
        <w:t xml:space="preserve"> (1995, 2000, 2012)</w:t>
      </w:r>
      <w:r w:rsidR="008D3A44">
        <w:t xml:space="preserve">. The information presented in Magee (2012) relied on dose-response analyses that were </w:t>
      </w:r>
      <w:r w:rsidR="00C17BB1">
        <w:t xml:space="preserve">independently </w:t>
      </w:r>
      <w:r w:rsidR="008D3A44">
        <w:t xml:space="preserve">performed </w:t>
      </w:r>
      <w:r w:rsidR="0035542D">
        <w:t xml:space="preserve">by ARCADIS </w:t>
      </w:r>
      <w:r w:rsidR="008D3A44">
        <w:t xml:space="preserve">in June, 2010 </w:t>
      </w:r>
      <w:r w:rsidR="00F00EE1">
        <w:t>employing</w:t>
      </w:r>
      <w:r w:rsidR="008D3A44">
        <w:t xml:space="preserve"> EPA’s </w:t>
      </w:r>
      <w:r w:rsidR="001E7D23">
        <w:t>Benchmark Dose Software (</w:t>
      </w:r>
      <w:r w:rsidR="008D3A44">
        <w:t>BMDS</w:t>
      </w:r>
      <w:r w:rsidR="001E7D23">
        <w:t>)</w:t>
      </w:r>
      <w:r w:rsidR="008D3A44">
        <w:t xml:space="preserve"> (v</w:t>
      </w:r>
      <w:r w:rsidR="003B2161">
        <w:t xml:space="preserve"> </w:t>
      </w:r>
      <w:r w:rsidR="008D3A44">
        <w:t>2.1.1) software.</w:t>
      </w:r>
      <w:r w:rsidR="00C17BB1">
        <w:t xml:space="preserve"> Th</w:t>
      </w:r>
      <w:r w:rsidR="004B10ED">
        <w:t xml:space="preserve">is </w:t>
      </w:r>
      <w:r w:rsidR="00305D3E">
        <w:t xml:space="preserve">modeling </w:t>
      </w:r>
      <w:r w:rsidR="005732C7">
        <w:t xml:space="preserve">resulted </w:t>
      </w:r>
      <w:r w:rsidR="00A30498">
        <w:rPr>
          <w:rFonts w:cs="Arial"/>
        </w:rPr>
        <w:t xml:space="preserve">in four models that adequately fit the </w:t>
      </w:r>
      <w:r w:rsidR="00A34D89">
        <w:rPr>
          <w:rFonts w:cs="Arial"/>
        </w:rPr>
        <w:t xml:space="preserve">white blood cell response </w:t>
      </w:r>
      <w:r w:rsidR="00A30498">
        <w:rPr>
          <w:rFonts w:cs="Arial"/>
        </w:rPr>
        <w:t xml:space="preserve">data </w:t>
      </w:r>
      <w:r w:rsidR="00A30498">
        <w:t>(</w:t>
      </w:r>
      <w:r w:rsidR="00A30498" w:rsidRPr="00941655">
        <w:t xml:space="preserve">Exponential (M2), Exponential (M4), Linear, </w:t>
      </w:r>
      <w:r w:rsidR="00471A9C">
        <w:t xml:space="preserve">and </w:t>
      </w:r>
      <w:r w:rsidR="00A30498" w:rsidRPr="00941655">
        <w:t>Power)</w:t>
      </w:r>
      <w:r w:rsidR="003B2161">
        <w:t xml:space="preserve"> and</w:t>
      </w:r>
      <w:r w:rsidR="00A30498">
        <w:rPr>
          <w:rFonts w:cs="Arial"/>
        </w:rPr>
        <w:t xml:space="preserve"> th</w:t>
      </w:r>
      <w:r w:rsidR="00A34D89">
        <w:rPr>
          <w:rFonts w:cs="Arial"/>
        </w:rPr>
        <w:t>at</w:t>
      </w:r>
      <w:r w:rsidR="00471A9C">
        <w:rPr>
          <w:rFonts w:cs="Arial"/>
        </w:rPr>
        <w:t>,</w:t>
      </w:r>
      <w:r w:rsidR="00A34D89">
        <w:rPr>
          <w:rFonts w:cs="Arial"/>
        </w:rPr>
        <w:t xml:space="preserve"> when averaged, yielded a BMDL of 11.64 </w:t>
      </w:r>
      <w:r w:rsidR="00A30498">
        <w:rPr>
          <w:rFonts w:cs="Arial"/>
        </w:rPr>
        <w:t xml:space="preserve">mg/kg-d. </w:t>
      </w:r>
      <w:r w:rsidR="005732C7">
        <w:rPr>
          <w:rFonts w:cs="Arial"/>
        </w:rPr>
        <w:t xml:space="preserve"> </w:t>
      </w:r>
      <w:r w:rsidR="00004633">
        <w:rPr>
          <w:rFonts w:cs="Arial"/>
        </w:rPr>
        <w:t xml:space="preserve">The </w:t>
      </w:r>
      <w:r w:rsidR="005732C7">
        <w:rPr>
          <w:rFonts w:cs="Arial"/>
        </w:rPr>
        <w:t xml:space="preserve">ARCADIS </w:t>
      </w:r>
      <w:r w:rsidR="00A30498">
        <w:rPr>
          <w:rFonts w:cs="Arial"/>
        </w:rPr>
        <w:t xml:space="preserve">approach </w:t>
      </w:r>
      <w:r w:rsidR="00C17BB1">
        <w:t>differed modestly from the approach taken by Thompson et al. (201</w:t>
      </w:r>
      <w:r w:rsidR="008F5357">
        <w:t>3</w:t>
      </w:r>
      <w:r w:rsidR="00C17BB1">
        <w:t>)</w:t>
      </w:r>
      <w:r w:rsidR="003B2161">
        <w:t xml:space="preserve"> and Gradient (2014)</w:t>
      </w:r>
      <w:r w:rsidR="00A30498">
        <w:t>, but produced a</w:t>
      </w:r>
      <w:r w:rsidR="00506F09">
        <w:t xml:space="preserve"> comparable BMDL estimate.</w:t>
      </w:r>
      <w:r w:rsidR="00A30498">
        <w:t xml:space="preserve"> </w:t>
      </w:r>
      <w:r w:rsidR="00506F09">
        <w:t>T</w:t>
      </w:r>
      <w:r w:rsidR="00A30498">
        <w:t xml:space="preserve">he </w:t>
      </w:r>
      <w:r w:rsidR="00BF2C42">
        <w:t xml:space="preserve">ARCADIS </w:t>
      </w:r>
      <w:r w:rsidR="00A30498">
        <w:t>BMD</w:t>
      </w:r>
      <w:r w:rsidR="00471A9C">
        <w:t>L</w:t>
      </w:r>
      <w:r w:rsidR="00A30498">
        <w:t xml:space="preserve"> analyses used to develop the position </w:t>
      </w:r>
      <w:r w:rsidR="003B2161">
        <w:t>presented</w:t>
      </w:r>
      <w:r w:rsidR="00A30498">
        <w:t xml:space="preserve"> in Magee (2012) are </w:t>
      </w:r>
      <w:r w:rsidR="003855B9">
        <w:t>alternative</w:t>
      </w:r>
      <w:r w:rsidR="00A30498">
        <w:t xml:space="preserve"> analys</w:t>
      </w:r>
      <w:r w:rsidR="003855B9">
        <w:t>e</w:t>
      </w:r>
      <w:r w:rsidR="00A30498">
        <w:t>s</w:t>
      </w:r>
      <w:r w:rsidR="003855B9">
        <w:t xml:space="preserve"> to those </w:t>
      </w:r>
      <w:r w:rsidR="003B2161">
        <w:t>described</w:t>
      </w:r>
      <w:r w:rsidR="003855B9">
        <w:t xml:space="preserve"> by Gradient (2014) and Thompson et al. (201</w:t>
      </w:r>
      <w:r w:rsidR="008F5357">
        <w:t>3</w:t>
      </w:r>
      <w:r w:rsidR="003855B9">
        <w:t>)</w:t>
      </w:r>
      <w:r w:rsidR="003B2161">
        <w:t xml:space="preserve">. </w:t>
      </w:r>
      <w:r w:rsidR="003B2161">
        <w:lastRenderedPageBreak/>
        <w:t xml:space="preserve">Taken together, the results </w:t>
      </w:r>
      <w:r w:rsidR="00F00EE1">
        <w:t>indicate that comparable</w:t>
      </w:r>
      <w:r w:rsidR="003B2161">
        <w:t xml:space="preserve"> BMDL estimates have been reached</w:t>
      </w:r>
      <w:r w:rsidR="00F00EE1">
        <w:t xml:space="preserve"> by different groups of researchers, using different </w:t>
      </w:r>
      <w:r w:rsidR="00A35AD6">
        <w:t xml:space="preserve">versions of EPA’s </w:t>
      </w:r>
      <w:r w:rsidR="00192524">
        <w:t>modeling</w:t>
      </w:r>
      <w:r w:rsidR="002A7A04">
        <w:t xml:space="preserve"> software</w:t>
      </w:r>
      <w:r w:rsidR="00A35AD6">
        <w:t xml:space="preserve"> and</w:t>
      </w:r>
      <w:r w:rsidR="00192524">
        <w:t xml:space="preserve"> assumptions</w:t>
      </w:r>
      <w:r w:rsidR="00A35AD6">
        <w:t xml:space="preserve">. </w:t>
      </w:r>
    </w:p>
    <w:p w:rsidR="00C9240F" w:rsidRDefault="008D5435" w:rsidP="007D7400">
      <w:r w:rsidRPr="008D5435">
        <w:rPr>
          <w:b/>
        </w:rPr>
        <w:t>COMMENT 2</w:t>
      </w:r>
      <w:r>
        <w:t xml:space="preserve">: </w:t>
      </w:r>
      <w:r w:rsidR="00FF3A6B">
        <w:t xml:space="preserve">In reference </w:t>
      </w:r>
      <w:r w:rsidR="00C9240F">
        <w:t>to</w:t>
      </w:r>
      <w:r w:rsidR="00FF3A6B">
        <w:t xml:space="preserve"> Magee (2012), Gradient states</w:t>
      </w:r>
      <w:r w:rsidR="00C9240F">
        <w:t xml:space="preserve"> the following</w:t>
      </w:r>
      <w:r w:rsidR="00FF3A6B">
        <w:t xml:space="preserve"> on p</w:t>
      </w:r>
      <w:r w:rsidR="007D7400">
        <w:t>age 31</w:t>
      </w:r>
      <w:r w:rsidR="00C9240F">
        <w:t>:</w:t>
      </w:r>
    </w:p>
    <w:p w:rsidR="00C9240F" w:rsidRDefault="007D7400" w:rsidP="00C9240F">
      <w:pPr>
        <w:ind w:left="720"/>
        <w:rPr>
          <w:i/>
        </w:rPr>
      </w:pPr>
      <w:r w:rsidRPr="00C9240F">
        <w:rPr>
          <w:i/>
        </w:rPr>
        <w:t>“</w:t>
      </w:r>
      <w:r w:rsidR="00C9240F">
        <w:rPr>
          <w:i/>
        </w:rPr>
        <w:t>W</w:t>
      </w:r>
      <w:r w:rsidRPr="00C9240F">
        <w:rPr>
          <w:i/>
        </w:rPr>
        <w:t>e note that there is a discrepancy in the discussion of model averaging by Magee (2012).</w:t>
      </w:r>
      <w:r w:rsidR="00FF3A6B" w:rsidRPr="00C9240F">
        <w:rPr>
          <w:i/>
        </w:rPr>
        <w:t xml:space="preserve"> </w:t>
      </w:r>
      <w:r w:rsidRPr="00C9240F">
        <w:rPr>
          <w:i/>
        </w:rPr>
        <w:t xml:space="preserve">On page 7, it states: </w:t>
      </w:r>
    </w:p>
    <w:p w:rsidR="007D7400" w:rsidRDefault="007D7400" w:rsidP="00C9240F">
      <w:pPr>
        <w:ind w:left="1440"/>
        <w:rPr>
          <w:i/>
        </w:rPr>
      </w:pPr>
      <w:r w:rsidRPr="00C9240F">
        <w:rPr>
          <w:i/>
        </w:rPr>
        <w:t>the white blood cell data using historical controls provided BMDLs ranging from</w:t>
      </w:r>
      <w:r w:rsidR="00FF3A6B" w:rsidRPr="00C9240F">
        <w:rPr>
          <w:i/>
        </w:rPr>
        <w:t xml:space="preserve"> </w:t>
      </w:r>
      <w:r w:rsidRPr="00C9240F">
        <w:rPr>
          <w:i/>
        </w:rPr>
        <w:t xml:space="preserve">5.54 to 16.12 mg/kg-day, and all </w:t>
      </w:r>
      <w:r w:rsidRPr="00C9240F">
        <w:rPr>
          <w:b/>
          <w:i/>
        </w:rPr>
        <w:t>five models [emphasis added</w:t>
      </w:r>
      <w:r w:rsidR="00BD1022">
        <w:rPr>
          <w:b/>
          <w:i/>
        </w:rPr>
        <w:t xml:space="preserve"> [</w:t>
      </w:r>
      <w:r w:rsidR="00FF3A6B" w:rsidRPr="00C9240F">
        <w:rPr>
          <w:b/>
          <w:i/>
        </w:rPr>
        <w:t>by Gradient</w:t>
      </w:r>
      <w:r w:rsidR="00BD1022">
        <w:rPr>
          <w:b/>
          <w:i/>
        </w:rPr>
        <w:t>]</w:t>
      </w:r>
      <w:r w:rsidRPr="00C9240F">
        <w:rPr>
          <w:b/>
          <w:i/>
        </w:rPr>
        <w:t>]</w:t>
      </w:r>
      <w:r w:rsidRPr="00C9240F">
        <w:rPr>
          <w:i/>
        </w:rPr>
        <w:t xml:space="preserve"> (exponential M2, exponential M4, linear, power and polynomial) gave identical homogeneity variance p-values, goodness of fit p-values, and AIC values. Further, even though </w:t>
      </w:r>
      <w:r w:rsidRPr="00BD1022">
        <w:rPr>
          <w:b/>
          <w:i/>
        </w:rPr>
        <w:t>all four models [emphasis added</w:t>
      </w:r>
      <w:r w:rsidR="00BD1022">
        <w:rPr>
          <w:b/>
          <w:i/>
        </w:rPr>
        <w:t xml:space="preserve"> [</w:t>
      </w:r>
      <w:r w:rsidR="00437EBE" w:rsidRPr="00BD1022">
        <w:rPr>
          <w:b/>
          <w:i/>
        </w:rPr>
        <w:t>by Gradient</w:t>
      </w:r>
      <w:r w:rsidR="00BD1022">
        <w:rPr>
          <w:b/>
          <w:i/>
        </w:rPr>
        <w:t>]</w:t>
      </w:r>
      <w:r w:rsidRPr="00BD1022">
        <w:rPr>
          <w:b/>
          <w:i/>
        </w:rPr>
        <w:t>]</w:t>
      </w:r>
      <w:r w:rsidRPr="00C9240F">
        <w:rPr>
          <w:i/>
        </w:rPr>
        <w:t xml:space="preserve"> met the scaled residual criterion of absolute value &lt;2, the scaled residuals for the linear, power, and polynomial models showed a slightly better fit to the data than the two exponential models (M2 and M4)…</w:t>
      </w:r>
      <w:r w:rsidR="00000650">
        <w:rPr>
          <w:i/>
        </w:rPr>
        <w:t>”</w:t>
      </w:r>
    </w:p>
    <w:p w:rsidR="008C34A8" w:rsidRDefault="006556C9" w:rsidP="00A717DE">
      <w:r w:rsidRPr="00A717DE">
        <w:rPr>
          <w:b/>
        </w:rPr>
        <w:t xml:space="preserve">RESPONSE </w:t>
      </w:r>
      <w:r w:rsidR="00A717DE" w:rsidRPr="00A717DE">
        <w:rPr>
          <w:b/>
        </w:rPr>
        <w:t>2</w:t>
      </w:r>
      <w:r w:rsidR="00000650">
        <w:t>:</w:t>
      </w:r>
      <w:r w:rsidR="00B96CD9">
        <w:t xml:space="preserve"> </w:t>
      </w:r>
      <w:r w:rsidR="00442CBB">
        <w:t>We agree that</w:t>
      </w:r>
      <w:r w:rsidR="008A78CF">
        <w:t xml:space="preserve"> there </w:t>
      </w:r>
      <w:r w:rsidR="00442CBB">
        <w:t>is</w:t>
      </w:r>
      <w:r w:rsidR="008A78CF">
        <w:t xml:space="preserve"> a discrepancy between the two bolded section</w:t>
      </w:r>
      <w:r w:rsidR="00B0586C">
        <w:t>s</w:t>
      </w:r>
      <w:r w:rsidR="008A78CF">
        <w:t xml:space="preserve"> of text.</w:t>
      </w:r>
      <w:r w:rsidR="00817752">
        <w:t xml:space="preserve"> </w:t>
      </w:r>
      <w:r w:rsidR="008C34A8" w:rsidRPr="008C34A8">
        <w:t xml:space="preserve">There is a typographical error in Magee (2012) when reporting the results of ATSDR (2011). </w:t>
      </w:r>
      <w:r w:rsidR="00500C5F" w:rsidRPr="00500C5F">
        <w:t>Both sections of bolded text i</w:t>
      </w:r>
      <w:r w:rsidR="0020419A">
        <w:t xml:space="preserve">dentified </w:t>
      </w:r>
      <w:r w:rsidR="00500C5F" w:rsidRPr="00500C5F">
        <w:t xml:space="preserve">by Gradient (2014) should state “five models” when referring to the ATSDR (2011) results. </w:t>
      </w:r>
      <w:r w:rsidR="00516BFA">
        <w:t xml:space="preserve">In Magee (2012), ARCADIS </w:t>
      </w:r>
      <w:r w:rsidR="00442CBB">
        <w:t>confirmed</w:t>
      </w:r>
      <w:r w:rsidR="00F05199">
        <w:t xml:space="preserve"> that </w:t>
      </w:r>
      <w:r w:rsidR="003B03D5">
        <w:t xml:space="preserve">the </w:t>
      </w:r>
      <w:r w:rsidR="00B96CD9">
        <w:t xml:space="preserve">ATSDR (2011) identified </w:t>
      </w:r>
      <w:r w:rsidR="00B96CD9" w:rsidRPr="003B03D5">
        <w:rPr>
          <w:u w:val="single"/>
        </w:rPr>
        <w:t>five</w:t>
      </w:r>
      <w:r w:rsidR="00B96CD9">
        <w:t xml:space="preserve"> models that ade</w:t>
      </w:r>
      <w:r w:rsidR="00F05199">
        <w:t xml:space="preserve">quately fit the HLS (2011) data: Exponential (M2 and M4), Linear, Power, and Polynomial. Results associated with the polynomial and power models were not presented in </w:t>
      </w:r>
      <w:r w:rsidR="00114965">
        <w:t xml:space="preserve">ATSDR’s </w:t>
      </w:r>
      <w:r w:rsidR="00F05199">
        <w:t>Tables B-4, B-5, B-5, and B-7, because</w:t>
      </w:r>
      <w:r w:rsidR="00442CBB">
        <w:t xml:space="preserve"> the</w:t>
      </w:r>
      <w:r w:rsidR="00B0586C">
        <w:t xml:space="preserve"> results</w:t>
      </w:r>
      <w:r w:rsidR="00442CBB">
        <w:t xml:space="preserve"> were</w:t>
      </w:r>
      <w:r w:rsidR="00F05199">
        <w:t xml:space="preserve"> identical to </w:t>
      </w:r>
      <w:r w:rsidR="00442CBB">
        <w:t>those obtained using the</w:t>
      </w:r>
      <w:r w:rsidR="00F05199">
        <w:t xml:space="preserve"> linear model.</w:t>
      </w:r>
      <w:r w:rsidR="008A78CF">
        <w:t xml:space="preserve"> </w:t>
      </w:r>
    </w:p>
    <w:p w:rsidR="00A717DE" w:rsidRPr="00C9240F" w:rsidRDefault="006556C9" w:rsidP="00A717DE">
      <w:pPr>
        <w:rPr>
          <w:i/>
        </w:rPr>
      </w:pPr>
      <w:r w:rsidRPr="00A717DE">
        <w:rPr>
          <w:b/>
        </w:rPr>
        <w:t xml:space="preserve">COMMENT </w:t>
      </w:r>
      <w:r w:rsidR="00A717DE" w:rsidRPr="00A717DE">
        <w:rPr>
          <w:b/>
        </w:rPr>
        <w:t>3</w:t>
      </w:r>
      <w:r w:rsidR="00A717DE">
        <w:rPr>
          <w:i/>
        </w:rPr>
        <w:t>:</w:t>
      </w:r>
      <w:r w:rsidR="00000650" w:rsidRPr="00000650">
        <w:t xml:space="preserve"> </w:t>
      </w:r>
      <w:r w:rsidR="00000650">
        <w:t>In reference to Magee (2012), Gradient states the following on page 31:</w:t>
      </w:r>
    </w:p>
    <w:p w:rsidR="00C9240F" w:rsidRPr="00C9240F" w:rsidRDefault="00000650" w:rsidP="00C9240F">
      <w:pPr>
        <w:ind w:left="1440"/>
        <w:rPr>
          <w:i/>
        </w:rPr>
      </w:pPr>
      <w:r>
        <w:rPr>
          <w:i/>
        </w:rPr>
        <w:t>“</w:t>
      </w:r>
      <w:r w:rsidR="007D7400" w:rsidRPr="00C9240F">
        <w:rPr>
          <w:i/>
        </w:rPr>
        <w:t xml:space="preserve">ARCADIS verified the white blood cell benchmark dose modeling of </w:t>
      </w:r>
      <w:r w:rsidR="00770A16">
        <w:rPr>
          <w:i/>
        </w:rPr>
        <w:t>ToxStrategies 2011 [sic]</w:t>
      </w:r>
      <w:r w:rsidR="007D7400" w:rsidRPr="00C9240F">
        <w:rPr>
          <w:i/>
        </w:rPr>
        <w:t xml:space="preserve">, specifically, the female rat BMDL values for the white blood cell decrements using the historical control variance are 8.78, 5.55, 16.12 and 16.12 mg/kg-day, for each of 4 BMD model types, with an average BMDL of 11.64 mg/kg-day. All models are acceptable fits to the experimental data, and the AIC values for the four models are identical. Thus, the USEPA's default averaging approach is appropriate for setting a Point of Departure. </w:t>
      </w:r>
      <w:proofErr w:type="gramStart"/>
      <w:r w:rsidR="007D7400" w:rsidRPr="00C9240F">
        <w:rPr>
          <w:i/>
        </w:rPr>
        <w:t>(Magee, 2012)</w:t>
      </w:r>
      <w:r w:rsidR="00C9240F" w:rsidRPr="00C9240F">
        <w:rPr>
          <w:i/>
        </w:rPr>
        <w:t>.</w:t>
      </w:r>
      <w:proofErr w:type="gramEnd"/>
    </w:p>
    <w:p w:rsidR="00961D69" w:rsidRDefault="007D7400" w:rsidP="00C9240F">
      <w:pPr>
        <w:ind w:left="720"/>
      </w:pPr>
      <w:r w:rsidRPr="00C9240F">
        <w:rPr>
          <w:i/>
        </w:rPr>
        <w:t>It appears from this discussion that there may have been an error in the average provided for the WBC counts. As summarized in Table 3.13, there are indeed five models that provided adequate fits to the log-transformed WBC data (exponential M2, exponential M4, linear, power and polynomial). Thus, the average of the five BMDLs (16.12, 16.12, 16.12, 5.54, and 8.78 mg/kg-day) would be 12.54 mg/kg-day instead of 11.64, as cited above.</w:t>
      </w:r>
      <w:r>
        <w:t>”</w:t>
      </w:r>
      <w:r w:rsidR="00990FA6">
        <w:t xml:space="preserve"> </w:t>
      </w:r>
    </w:p>
    <w:p w:rsidR="008E7257" w:rsidRDefault="008E7257" w:rsidP="007D7400">
      <w:pPr>
        <w:rPr>
          <w:b/>
        </w:rPr>
      </w:pPr>
    </w:p>
    <w:p w:rsidR="00DB5FFA" w:rsidRDefault="008D5435" w:rsidP="007D7400">
      <w:r w:rsidRPr="008D5435">
        <w:rPr>
          <w:b/>
        </w:rPr>
        <w:lastRenderedPageBreak/>
        <w:t xml:space="preserve">RESPONSE </w:t>
      </w:r>
      <w:r w:rsidR="00A717DE">
        <w:rPr>
          <w:b/>
        </w:rPr>
        <w:t>3</w:t>
      </w:r>
      <w:r>
        <w:t>:</w:t>
      </w:r>
      <w:r w:rsidR="001937AA">
        <w:t xml:space="preserve"> </w:t>
      </w:r>
      <w:r w:rsidR="00E725D4">
        <w:t xml:space="preserve">It is correct that </w:t>
      </w:r>
      <w:r w:rsidR="004916B7">
        <w:t xml:space="preserve">Magee (2012) determined that </w:t>
      </w:r>
      <w:r w:rsidR="000A1838">
        <w:t xml:space="preserve">the </w:t>
      </w:r>
      <w:r w:rsidR="004916B7">
        <w:t xml:space="preserve">polynomial model did not </w:t>
      </w:r>
      <w:r w:rsidR="00E725D4">
        <w:t>adequately fit</w:t>
      </w:r>
      <w:r w:rsidR="004916B7">
        <w:t xml:space="preserve"> the </w:t>
      </w:r>
      <w:r w:rsidR="00E725D4">
        <w:t xml:space="preserve">HLS study’s </w:t>
      </w:r>
      <w:r w:rsidR="00476374">
        <w:t xml:space="preserve">white blood cell </w:t>
      </w:r>
      <w:r w:rsidR="00770A16">
        <w:t xml:space="preserve">count </w:t>
      </w:r>
      <w:r w:rsidR="00DC4764">
        <w:t>data</w:t>
      </w:r>
      <w:r w:rsidR="00E725D4">
        <w:t xml:space="preserve"> (2001)</w:t>
      </w:r>
      <w:r w:rsidR="00DC4764">
        <w:t>.</w:t>
      </w:r>
      <w:r w:rsidR="004916B7">
        <w:t xml:space="preserve"> </w:t>
      </w:r>
      <w:r w:rsidR="00DC4764">
        <w:t>A</w:t>
      </w:r>
      <w:r w:rsidR="004916B7">
        <w:t>s a result</w:t>
      </w:r>
      <w:r w:rsidR="00DB5FFA">
        <w:t>,</w:t>
      </w:r>
      <w:r w:rsidR="004916B7">
        <w:t xml:space="preserve"> the </w:t>
      </w:r>
      <w:r w:rsidR="00344006">
        <w:t>average BMDL</w:t>
      </w:r>
      <w:r w:rsidR="004916B7">
        <w:t xml:space="preserve"> was calculated </w:t>
      </w:r>
      <w:r w:rsidR="001937AA">
        <w:t>using</w:t>
      </w:r>
      <w:r w:rsidR="004916B7">
        <w:t xml:space="preserve"> output from </w:t>
      </w:r>
      <w:r w:rsidR="009A4618">
        <w:t xml:space="preserve">the </w:t>
      </w:r>
      <w:r w:rsidR="004916B7">
        <w:t>four models that adequately fit the data (</w:t>
      </w:r>
      <w:r w:rsidR="004916B7" w:rsidRPr="00941655">
        <w:t>Exponential (M2), Exponential (M4), Linear,</w:t>
      </w:r>
      <w:r w:rsidR="00DB5FFA">
        <w:t xml:space="preserve"> </w:t>
      </w:r>
      <w:proofErr w:type="gramStart"/>
      <w:r w:rsidR="004916B7" w:rsidRPr="00941655">
        <w:t>Power</w:t>
      </w:r>
      <w:proofErr w:type="gramEnd"/>
      <w:r w:rsidR="004916B7" w:rsidRPr="00941655">
        <w:t>)</w:t>
      </w:r>
      <w:r w:rsidR="00954D6A">
        <w:t>. This resulted</w:t>
      </w:r>
      <w:r w:rsidR="004916B7">
        <w:t xml:space="preserve"> in a</w:t>
      </w:r>
      <w:r w:rsidR="0067487D">
        <w:t>n average</w:t>
      </w:r>
      <w:r w:rsidR="004916B7">
        <w:t xml:space="preserve"> BMDL </w:t>
      </w:r>
      <w:r w:rsidR="00DF0BBD">
        <w:t>of</w:t>
      </w:r>
      <w:r w:rsidR="004916B7">
        <w:t xml:space="preserve"> 11.64 mg/kg-day. The source of the discrepancy</w:t>
      </w:r>
      <w:r w:rsidR="00954D6A">
        <w:t xml:space="preserve"> between Magee (2012) and Gradient (2014)</w:t>
      </w:r>
      <w:r w:rsidR="004916B7">
        <w:t xml:space="preserve"> </w:t>
      </w:r>
      <w:r w:rsidR="00DF0BBD">
        <w:t xml:space="preserve">is </w:t>
      </w:r>
      <w:r w:rsidR="004916B7">
        <w:t>related to the way that restrictions were applied to polynomial coefficients (</w:t>
      </w:r>
      <w:r w:rsidR="004916B7" w:rsidRPr="003A4B8D">
        <w:rPr>
          <w:rFonts w:cs="Arial"/>
          <w:i/>
        </w:rPr>
        <w:t>β</w:t>
      </w:r>
      <w:r w:rsidR="004916B7">
        <w:t xml:space="preserve">) during parameterization of the </w:t>
      </w:r>
      <w:r w:rsidR="00AF4F9E">
        <w:t>BMD</w:t>
      </w:r>
      <w:r w:rsidR="004B531B">
        <w:t xml:space="preserve"> </w:t>
      </w:r>
      <w:r w:rsidR="004916B7">
        <w:t xml:space="preserve">model. </w:t>
      </w:r>
    </w:p>
    <w:p w:rsidR="0067487D" w:rsidRDefault="00954D6A" w:rsidP="007D7400">
      <w:r>
        <w:t xml:space="preserve">The BMD </w:t>
      </w:r>
      <w:r w:rsidR="00676DFA">
        <w:t>software</w:t>
      </w:r>
      <w:r>
        <w:t xml:space="preserve"> used by Magee (2012) (EPA BMDS v 2.1.1) and Gradient (2014) (EPA BMDS v 2.5) allow</w:t>
      </w:r>
      <w:r w:rsidR="004916B7">
        <w:t xml:space="preserve"> users to </w:t>
      </w:r>
      <w:r>
        <w:t>choose whether or not to</w:t>
      </w:r>
      <w:r w:rsidR="001937AA">
        <w:t xml:space="preserve"> </w:t>
      </w:r>
      <w:r w:rsidR="004916B7">
        <w:t xml:space="preserve">apply restrictions to </w:t>
      </w:r>
      <w:r w:rsidR="00484CB3">
        <w:t xml:space="preserve">polynomial model </w:t>
      </w:r>
      <w:r w:rsidR="004916B7" w:rsidRPr="003A4B8D">
        <w:rPr>
          <w:rFonts w:cs="Arial"/>
          <w:i/>
        </w:rPr>
        <w:t>β</w:t>
      </w:r>
      <w:r w:rsidR="004916B7">
        <w:rPr>
          <w:rFonts w:cs="Arial"/>
        </w:rPr>
        <w:t>’s</w:t>
      </w:r>
      <w:r w:rsidR="00B9447D">
        <w:rPr>
          <w:rFonts w:cs="Arial"/>
        </w:rPr>
        <w:t>,</w:t>
      </w:r>
      <w:r w:rsidR="00DD22C3">
        <w:rPr>
          <w:rFonts w:cs="Arial"/>
        </w:rPr>
        <w:t xml:space="preserve"> specifically restrictions to either positive or negative values</w:t>
      </w:r>
      <w:r w:rsidR="004916B7">
        <w:t xml:space="preserve">. </w:t>
      </w:r>
      <w:r>
        <w:t xml:space="preserve">However, </w:t>
      </w:r>
      <w:r w:rsidR="000836BB">
        <w:t>the software version used by Magee (2012) (</w:t>
      </w:r>
      <w:r>
        <w:t xml:space="preserve">BMDS </w:t>
      </w:r>
      <w:r w:rsidR="0030134D">
        <w:t>(</w:t>
      </w:r>
      <w:r>
        <w:t>v 2.1.1</w:t>
      </w:r>
      <w:r w:rsidR="0030134D">
        <w:t>)</w:t>
      </w:r>
      <w:r w:rsidR="000836BB">
        <w:t>)</w:t>
      </w:r>
      <w:r>
        <w:t xml:space="preserve"> </w:t>
      </w:r>
      <w:r w:rsidR="006A65D5">
        <w:t xml:space="preserve">requires </w:t>
      </w:r>
      <w:r>
        <w:t>users to manually select whether or not to restrict</w:t>
      </w:r>
      <w:r w:rsidR="00484CB3">
        <w:t xml:space="preserve"> the</w:t>
      </w:r>
      <w:r>
        <w:t xml:space="preserve"> </w:t>
      </w:r>
      <w:r w:rsidRPr="003A4B8D">
        <w:rPr>
          <w:rFonts w:cs="Arial"/>
          <w:i/>
        </w:rPr>
        <w:t>β</w:t>
      </w:r>
      <w:r>
        <w:rPr>
          <w:rFonts w:cs="Arial"/>
        </w:rPr>
        <w:t>’s</w:t>
      </w:r>
      <w:r w:rsidR="00660A19">
        <w:rPr>
          <w:rFonts w:cs="Arial"/>
        </w:rPr>
        <w:t xml:space="preserve"> and</w:t>
      </w:r>
      <w:r w:rsidR="00132423">
        <w:rPr>
          <w:rFonts w:cs="Arial"/>
        </w:rPr>
        <w:t>,</w:t>
      </w:r>
      <w:r w:rsidR="00660A19">
        <w:rPr>
          <w:rFonts w:cs="Arial"/>
        </w:rPr>
        <w:t xml:space="preserve"> if restricted, whether to restrict the values to positive values or negative values</w:t>
      </w:r>
      <w:r>
        <w:rPr>
          <w:rFonts w:cs="Arial"/>
        </w:rPr>
        <w:t>.</w:t>
      </w:r>
      <w:r>
        <w:t xml:space="preserve"> </w:t>
      </w:r>
      <w:r w:rsidR="004916B7">
        <w:t xml:space="preserve">Magee (2012) did not apply restrictions to </w:t>
      </w:r>
      <w:r w:rsidR="004916B7" w:rsidRPr="003A4B8D">
        <w:rPr>
          <w:rFonts w:cs="Arial"/>
          <w:i/>
        </w:rPr>
        <w:t>β</w:t>
      </w:r>
      <w:r w:rsidR="004916B7">
        <w:rPr>
          <w:rFonts w:cs="Arial"/>
          <w:i/>
        </w:rPr>
        <w:t>’s</w:t>
      </w:r>
      <w:r>
        <w:t xml:space="preserve"> during modeling</w:t>
      </w:r>
      <w:r w:rsidR="00B33D64">
        <w:t xml:space="preserve">. When the </w:t>
      </w:r>
      <w:r w:rsidR="00132423">
        <w:t xml:space="preserve">polynomial </w:t>
      </w:r>
      <w:r w:rsidR="00B33D64">
        <w:t xml:space="preserve">model was </w:t>
      </w:r>
      <w:r w:rsidR="00132423">
        <w:t xml:space="preserve">then </w:t>
      </w:r>
      <w:r w:rsidR="00B33D64">
        <w:t xml:space="preserve">evaluated to determine if </w:t>
      </w:r>
      <w:r w:rsidR="00344006">
        <w:t>it</w:t>
      </w:r>
      <w:r w:rsidR="00B33D64">
        <w:t xml:space="preserve"> fit the data,</w:t>
      </w:r>
      <w:r>
        <w:t xml:space="preserve"> </w:t>
      </w:r>
      <w:r w:rsidR="00B33D64">
        <w:t>Magee (2012) found that</w:t>
      </w:r>
      <w:r w:rsidR="00344006">
        <w:t xml:space="preserve"> the</w:t>
      </w:r>
      <w:r>
        <w:t xml:space="preserve"> </w:t>
      </w:r>
      <w:r w:rsidR="001937AA">
        <w:t xml:space="preserve">polynomial </w:t>
      </w:r>
      <w:r w:rsidR="004916B7">
        <w:t>model</w:t>
      </w:r>
      <w:r>
        <w:t xml:space="preserve"> </w:t>
      </w:r>
      <w:r w:rsidR="00344006">
        <w:t xml:space="preserve">did not provide </w:t>
      </w:r>
      <w:r w:rsidR="005B191E">
        <w:t xml:space="preserve">an </w:t>
      </w:r>
      <w:r w:rsidR="001937AA">
        <w:t>adequate</w:t>
      </w:r>
      <w:r w:rsidR="004916B7">
        <w:t xml:space="preserve"> </w:t>
      </w:r>
      <w:r w:rsidR="00BD395E">
        <w:t xml:space="preserve">global </w:t>
      </w:r>
      <w:r w:rsidR="004916B7">
        <w:t xml:space="preserve">goodness-of-fit (p-value = 0.078). In contrast, </w:t>
      </w:r>
      <w:r>
        <w:t>Gradient (2014)</w:t>
      </w:r>
      <w:r w:rsidR="0030134D">
        <w:t xml:space="preserve"> employed BMDS (v 2.5) in combination with the BMD Wizard (v 1.9)</w:t>
      </w:r>
      <w:r w:rsidR="00DB5FFA">
        <w:t>. This version of the BMD Wizard</w:t>
      </w:r>
      <w:r w:rsidR="0030134D">
        <w:t xml:space="preserve"> restricts </w:t>
      </w:r>
      <w:r w:rsidR="0030134D" w:rsidRPr="003A4B8D">
        <w:rPr>
          <w:rFonts w:cs="Arial"/>
          <w:i/>
        </w:rPr>
        <w:t>β</w:t>
      </w:r>
      <w:r w:rsidR="0030134D">
        <w:rPr>
          <w:rFonts w:cs="Arial"/>
        </w:rPr>
        <w:t>’s to non-positive values by</w:t>
      </w:r>
      <w:r w:rsidR="0030134D">
        <w:t xml:space="preserve"> default. Gradient (2014) did not indicate </w:t>
      </w:r>
      <w:r w:rsidR="00CB58D1">
        <w:t xml:space="preserve">whether it </w:t>
      </w:r>
      <w:r w:rsidR="0030134D">
        <w:t xml:space="preserve">adjusted any of the default settings </w:t>
      </w:r>
      <w:r w:rsidR="00CB58D1">
        <w:t xml:space="preserve">of </w:t>
      </w:r>
      <w:r w:rsidR="0030134D">
        <w:t>the BMD Wizard</w:t>
      </w:r>
      <w:r w:rsidR="00B9447D">
        <w:t xml:space="preserve">, so ARCADIS assumes that </w:t>
      </w:r>
      <w:r w:rsidR="001A7392">
        <w:t xml:space="preserve">Gradient (2014) </w:t>
      </w:r>
      <w:r w:rsidR="00B9447D">
        <w:t xml:space="preserve">used </w:t>
      </w:r>
      <w:r w:rsidR="008B55BC">
        <w:t xml:space="preserve">the </w:t>
      </w:r>
      <w:r w:rsidR="00B9447D">
        <w:t>default settings</w:t>
      </w:r>
      <w:r w:rsidR="0067487D">
        <w:t xml:space="preserve">. Under </w:t>
      </w:r>
      <w:r w:rsidR="00DC4764">
        <w:t>the default</w:t>
      </w:r>
      <w:r w:rsidR="0067487D">
        <w:t xml:space="preserve"> modeling conditions, Gradient (2014) found that polynomial models </w:t>
      </w:r>
      <w:r w:rsidR="00DB5FFA">
        <w:t xml:space="preserve">did </w:t>
      </w:r>
      <w:r w:rsidR="0067487D">
        <w:t>adequately fit the white blood cell count data</w:t>
      </w:r>
      <w:r w:rsidR="00DB5FFA">
        <w:t>.</w:t>
      </w:r>
      <w:r w:rsidR="0067487D">
        <w:t xml:space="preserve">   </w:t>
      </w:r>
    </w:p>
    <w:p w:rsidR="008D5435" w:rsidRDefault="004916B7" w:rsidP="007D7400">
      <w:pPr>
        <w:rPr>
          <w:rFonts w:cs="Arial"/>
        </w:rPr>
      </w:pPr>
      <w:r>
        <w:t xml:space="preserve">EPA guidance (2000) does not provide any recommendations for applying restrictions to </w:t>
      </w:r>
      <w:r w:rsidR="00EA79CF">
        <w:t xml:space="preserve">polynomial model </w:t>
      </w:r>
      <w:r w:rsidRPr="003A4B8D">
        <w:rPr>
          <w:rFonts w:cs="Arial"/>
          <w:i/>
        </w:rPr>
        <w:t>β</w:t>
      </w:r>
      <w:r>
        <w:rPr>
          <w:i/>
        </w:rPr>
        <w:t>’</w:t>
      </w:r>
      <w:r w:rsidRPr="003A4B8D">
        <w:t>s</w:t>
      </w:r>
      <w:r>
        <w:t xml:space="preserve">. EPA (2012) recommends </w:t>
      </w:r>
      <w:r w:rsidR="00F85A20">
        <w:t xml:space="preserve">usually </w:t>
      </w:r>
      <w:r>
        <w:t>restricting</w:t>
      </w:r>
      <w:r w:rsidR="00506F09">
        <w:t xml:space="preserve"> polynomial</w:t>
      </w:r>
      <w:r>
        <w:t xml:space="preserve"> </w:t>
      </w:r>
      <w:r w:rsidRPr="003A4B8D">
        <w:rPr>
          <w:rFonts w:cs="Arial"/>
          <w:i/>
        </w:rPr>
        <w:t>β</w:t>
      </w:r>
      <w:r>
        <w:rPr>
          <w:rFonts w:cs="Arial"/>
        </w:rPr>
        <w:t xml:space="preserve">’s </w:t>
      </w:r>
      <w:r w:rsidR="00BD395E">
        <w:rPr>
          <w:rFonts w:cs="Arial"/>
        </w:rPr>
        <w:t xml:space="preserve">to </w:t>
      </w:r>
      <w:r>
        <w:rPr>
          <w:rFonts w:cs="Arial"/>
        </w:rPr>
        <w:t xml:space="preserve">≤ 0 </w:t>
      </w:r>
      <w:r w:rsidR="00F85A20">
        <w:rPr>
          <w:rFonts w:cs="Arial"/>
        </w:rPr>
        <w:t>for decreasing response data</w:t>
      </w:r>
      <w:r>
        <w:rPr>
          <w:rFonts w:cs="Arial"/>
        </w:rPr>
        <w:t xml:space="preserve"> </w:t>
      </w:r>
      <w:r w:rsidR="00F85A20">
        <w:rPr>
          <w:rFonts w:cs="Arial"/>
        </w:rPr>
        <w:t>“</w:t>
      </w:r>
      <w:r>
        <w:rPr>
          <w:rFonts w:cs="Arial"/>
        </w:rPr>
        <w:t>to ensure monotonic curves</w:t>
      </w:r>
      <w:r w:rsidR="00B4544C">
        <w:rPr>
          <w:rFonts w:cs="Arial"/>
        </w:rPr>
        <w:t>.</w:t>
      </w:r>
      <w:r w:rsidR="002D4D6C">
        <w:rPr>
          <w:rFonts w:cs="Arial"/>
        </w:rPr>
        <w:t>”</w:t>
      </w:r>
      <w:r>
        <w:rPr>
          <w:rFonts w:cs="Arial"/>
        </w:rPr>
        <w:t xml:space="preserve"> </w:t>
      </w:r>
      <w:r w:rsidR="00DB5FFA">
        <w:rPr>
          <w:rFonts w:cs="Arial"/>
        </w:rPr>
        <w:t xml:space="preserve">When Magee (2012) fit polynomial models parameterized with non-restricted </w:t>
      </w:r>
      <w:r w:rsidR="00DB5FFA" w:rsidRPr="003A4B8D">
        <w:rPr>
          <w:rFonts w:cs="Arial"/>
          <w:i/>
        </w:rPr>
        <w:t>β</w:t>
      </w:r>
      <w:r w:rsidR="00DB5FFA">
        <w:rPr>
          <w:rFonts w:cs="Arial"/>
        </w:rPr>
        <w:t xml:space="preserve">’s to the white blood cell count </w:t>
      </w:r>
      <w:r w:rsidR="00A07C38">
        <w:rPr>
          <w:rFonts w:cs="Arial"/>
        </w:rPr>
        <w:t xml:space="preserve">data, </w:t>
      </w:r>
      <w:r w:rsidR="00B4544C">
        <w:rPr>
          <w:rFonts w:cs="Arial"/>
        </w:rPr>
        <w:t xml:space="preserve">he </w:t>
      </w:r>
      <w:r w:rsidR="00A07C38">
        <w:rPr>
          <w:rFonts w:cs="Arial"/>
        </w:rPr>
        <w:t>found that the model</w:t>
      </w:r>
      <w:r w:rsidR="00DB5FFA">
        <w:rPr>
          <w:rFonts w:cs="Arial"/>
        </w:rPr>
        <w:t xml:space="preserve"> produced a monotonic dose-response curve. Thus,</w:t>
      </w:r>
      <w:r>
        <w:rPr>
          <w:rFonts w:cs="Arial"/>
        </w:rPr>
        <w:t xml:space="preserve"> </w:t>
      </w:r>
      <w:r w:rsidR="00A07C38">
        <w:rPr>
          <w:rFonts w:cs="Arial"/>
        </w:rPr>
        <w:t>Magee (2012)</w:t>
      </w:r>
      <w:r w:rsidR="00B7396E">
        <w:rPr>
          <w:rFonts w:cs="Arial"/>
        </w:rPr>
        <w:t xml:space="preserve"> </w:t>
      </w:r>
      <w:r w:rsidR="001937AA">
        <w:rPr>
          <w:rFonts w:cs="Arial"/>
        </w:rPr>
        <w:t xml:space="preserve">did not </w:t>
      </w:r>
      <w:r w:rsidR="00A07C38">
        <w:rPr>
          <w:rFonts w:cs="Arial"/>
        </w:rPr>
        <w:t xml:space="preserve">find any evidence to </w:t>
      </w:r>
      <w:r w:rsidR="008B55BC">
        <w:rPr>
          <w:rFonts w:cs="Arial"/>
        </w:rPr>
        <w:t xml:space="preserve">require </w:t>
      </w:r>
      <w:r w:rsidR="00B7396E">
        <w:rPr>
          <w:rFonts w:cs="Arial"/>
        </w:rPr>
        <w:t>restrict</w:t>
      </w:r>
      <w:r w:rsidR="00A07C38">
        <w:rPr>
          <w:rFonts w:cs="Arial"/>
        </w:rPr>
        <w:t>ing</w:t>
      </w:r>
      <w:r w:rsidR="00B7396E">
        <w:rPr>
          <w:rFonts w:cs="Arial"/>
        </w:rPr>
        <w:t xml:space="preserve"> </w:t>
      </w:r>
      <w:r w:rsidR="00B7396E" w:rsidRPr="003A4B8D">
        <w:rPr>
          <w:rFonts w:cs="Arial"/>
          <w:i/>
        </w:rPr>
        <w:t>β</w:t>
      </w:r>
      <w:r w:rsidR="00B7396E">
        <w:rPr>
          <w:rFonts w:cs="Arial"/>
        </w:rPr>
        <w:t>’s to non-positive values</w:t>
      </w:r>
      <w:r>
        <w:rPr>
          <w:rFonts w:cs="Arial"/>
        </w:rPr>
        <w:t>.</w:t>
      </w:r>
    </w:p>
    <w:p w:rsidR="00D50EF3" w:rsidRDefault="008D5435" w:rsidP="007D7400">
      <w:r w:rsidRPr="008D5435">
        <w:rPr>
          <w:b/>
        </w:rPr>
        <w:t xml:space="preserve">COMMENT </w:t>
      </w:r>
      <w:r w:rsidR="00A717DE">
        <w:rPr>
          <w:b/>
        </w:rPr>
        <w:t>4</w:t>
      </w:r>
      <w:r>
        <w:t xml:space="preserve">: </w:t>
      </w:r>
      <w:r w:rsidR="00D50EF3">
        <w:t xml:space="preserve">In reference to Magee (2012), Gradient states on </w:t>
      </w:r>
      <w:r w:rsidR="007D7400">
        <w:t>Page 36</w:t>
      </w:r>
      <w:r w:rsidR="00D50EF3">
        <w:t xml:space="preserve">, </w:t>
      </w:r>
      <w:r w:rsidR="007D7400">
        <w:t>Table 4.2</w:t>
      </w:r>
      <w:r w:rsidR="00D50EF3">
        <w:t xml:space="preserve"> that</w:t>
      </w:r>
      <w:r w:rsidR="007D7400">
        <w:t xml:space="preserve">: </w:t>
      </w:r>
    </w:p>
    <w:p w:rsidR="007D7400" w:rsidRDefault="007D7400" w:rsidP="00D50EF3">
      <w:pPr>
        <w:ind w:left="720"/>
      </w:pPr>
      <w:r>
        <w:t>“</w:t>
      </w:r>
      <w:r w:rsidRPr="00941655">
        <w:rPr>
          <w:i/>
        </w:rPr>
        <w:t xml:space="preserve">ARCADIS relied upon BMDL </w:t>
      </w:r>
      <w:r w:rsidR="00D50EF3" w:rsidRPr="00941655">
        <w:rPr>
          <w:i/>
        </w:rPr>
        <w:t>estimates from Thompson et al. (</w:t>
      </w:r>
      <w:r w:rsidRPr="00941655">
        <w:rPr>
          <w:i/>
        </w:rPr>
        <w:t>2013)</w:t>
      </w:r>
      <w:r w:rsidR="00391169">
        <w:rPr>
          <w:i/>
        </w:rPr>
        <w:t xml:space="preserve"> </w:t>
      </w:r>
      <w:r w:rsidRPr="00941655">
        <w:rPr>
          <w:i/>
        </w:rPr>
        <w:t>and averaged the BMDLs from four viable models (using historical control data). (Note this is equivalent to Approach 3 from Table 4.1, however the average was calculated incorrectly and should equal 12.54 mg/kg-day)</w:t>
      </w:r>
      <w:r>
        <w:t>.”</w:t>
      </w:r>
    </w:p>
    <w:p w:rsidR="008D5435" w:rsidRDefault="008D5435" w:rsidP="008D5435">
      <w:pPr>
        <w:rPr>
          <w:rFonts w:cs="Arial"/>
        </w:rPr>
      </w:pPr>
      <w:r w:rsidRPr="008D5435">
        <w:rPr>
          <w:b/>
        </w:rPr>
        <w:t xml:space="preserve">RESPONSE </w:t>
      </w:r>
      <w:r w:rsidR="00A717DE">
        <w:rPr>
          <w:b/>
        </w:rPr>
        <w:t>4</w:t>
      </w:r>
      <w:r>
        <w:t>:</w:t>
      </w:r>
      <w:r w:rsidR="00E645EF">
        <w:t xml:space="preserve"> </w:t>
      </w:r>
      <w:r w:rsidR="008B55BC">
        <w:t xml:space="preserve">As noted above, </w:t>
      </w:r>
      <w:r w:rsidR="00E645EF">
        <w:t>ARCADIS independently calculated BMDLs using the biological effects data reported in the Huntingdon Life Sciences</w:t>
      </w:r>
      <w:r w:rsidR="004535FF">
        <w:t xml:space="preserve"> (2001)</w:t>
      </w:r>
      <w:r w:rsidR="00E645EF">
        <w:t xml:space="preserve"> study </w:t>
      </w:r>
      <w:r w:rsidR="004F0C46">
        <w:t>in combination with</w:t>
      </w:r>
      <w:r w:rsidR="00E645EF">
        <w:t xml:space="preserve"> EPA </w:t>
      </w:r>
      <w:r w:rsidR="004F0C46">
        <w:t xml:space="preserve">BMD </w:t>
      </w:r>
      <w:r w:rsidR="00E645EF">
        <w:t>guidance</w:t>
      </w:r>
      <w:r w:rsidR="004F0C46">
        <w:t xml:space="preserve"> (1995, 2000, </w:t>
      </w:r>
      <w:proofErr w:type="gramStart"/>
      <w:r w:rsidR="004F0C46">
        <w:t>2012</w:t>
      </w:r>
      <w:proofErr w:type="gramEnd"/>
      <w:r w:rsidR="004F0C46">
        <w:t>)</w:t>
      </w:r>
      <w:r w:rsidR="00E645EF">
        <w:t>.</w:t>
      </w:r>
      <w:r w:rsidR="006B7D62">
        <w:t xml:space="preserve"> The information presented in Magee (2012) relied on dose-response analyses that were performed </w:t>
      </w:r>
      <w:r w:rsidR="00941655">
        <w:t xml:space="preserve">in </w:t>
      </w:r>
      <w:r w:rsidR="006B7D62">
        <w:t>June, 2010 using EPA’s BMDS (v</w:t>
      </w:r>
      <w:r w:rsidR="00EA79CF">
        <w:t xml:space="preserve"> </w:t>
      </w:r>
      <w:r w:rsidR="006B7D62">
        <w:t>2.1.1)</w:t>
      </w:r>
      <w:r w:rsidR="004535FF">
        <w:t xml:space="preserve"> software</w:t>
      </w:r>
      <w:r w:rsidR="006B7D62">
        <w:t>. It is correct that Magee (2012) determined that the polynomial model did not fit the data, and as a result the average BMDL was calculated based on</w:t>
      </w:r>
      <w:r w:rsidR="00941655">
        <w:t xml:space="preserve"> </w:t>
      </w:r>
      <w:r w:rsidR="006B7D62">
        <w:t xml:space="preserve">the output from </w:t>
      </w:r>
      <w:r w:rsidR="008B55BC">
        <w:t xml:space="preserve">the </w:t>
      </w:r>
      <w:r w:rsidR="006B7D62">
        <w:t>four models</w:t>
      </w:r>
      <w:r w:rsidR="00941655">
        <w:t xml:space="preserve"> that </w:t>
      </w:r>
      <w:r w:rsidR="00345C3F">
        <w:t xml:space="preserve">did </w:t>
      </w:r>
      <w:r w:rsidR="00941655">
        <w:t>adequately fit the data</w:t>
      </w:r>
      <w:r w:rsidR="006B7D62">
        <w:t xml:space="preserve"> (</w:t>
      </w:r>
      <w:r w:rsidR="00941655" w:rsidRPr="00941655">
        <w:t xml:space="preserve">Exponential (M2), Exponential (M4), Linear, </w:t>
      </w:r>
      <w:r w:rsidR="00A3517D">
        <w:t xml:space="preserve">and </w:t>
      </w:r>
      <w:r w:rsidR="00941655" w:rsidRPr="00941655">
        <w:t>Power)</w:t>
      </w:r>
      <w:r w:rsidR="00E725D4">
        <w:t>. This approach</w:t>
      </w:r>
      <w:r w:rsidR="00941655">
        <w:t xml:space="preserve"> result</w:t>
      </w:r>
      <w:r w:rsidR="00E725D4">
        <w:t>ed</w:t>
      </w:r>
      <w:r w:rsidR="00941655">
        <w:t xml:space="preserve"> in a</w:t>
      </w:r>
      <w:r w:rsidR="00E725D4">
        <w:t>n average</w:t>
      </w:r>
      <w:r w:rsidR="00941655">
        <w:t xml:space="preserve"> BMDL</w:t>
      </w:r>
      <w:r w:rsidR="004656F6">
        <w:t xml:space="preserve"> </w:t>
      </w:r>
      <w:r w:rsidR="00A3517D">
        <w:t xml:space="preserve">of </w:t>
      </w:r>
      <w:r w:rsidR="004656F6">
        <w:t>11.64 mg/kg-day.</w:t>
      </w:r>
      <w:r w:rsidR="004F0C46">
        <w:t xml:space="preserve"> However,</w:t>
      </w:r>
      <w:r w:rsidR="004656F6">
        <w:t xml:space="preserve"> </w:t>
      </w:r>
      <w:r w:rsidR="004F0C46">
        <w:t>i</w:t>
      </w:r>
      <w:r w:rsidR="004656F6">
        <w:t>nformation in Table</w:t>
      </w:r>
      <w:r w:rsidR="004F0C46">
        <w:t>s 3.4 and</w:t>
      </w:r>
      <w:r w:rsidR="004656F6">
        <w:t xml:space="preserve"> 4.2 of Gradient</w:t>
      </w:r>
      <w:r w:rsidR="004F0C46">
        <w:t>’s</w:t>
      </w:r>
      <w:r w:rsidR="004656F6">
        <w:t xml:space="preserve"> </w:t>
      </w:r>
      <w:r w:rsidR="004F0C46">
        <w:t>r</w:t>
      </w:r>
      <w:r w:rsidR="004656F6">
        <w:t>eport</w:t>
      </w:r>
      <w:r w:rsidR="004F0C46">
        <w:t xml:space="preserve"> (2014)</w:t>
      </w:r>
      <w:r w:rsidR="004656F6">
        <w:t xml:space="preserve"> indicates that</w:t>
      </w:r>
      <w:r w:rsidR="00D24DB0" w:rsidRPr="00D24DB0">
        <w:t xml:space="preserve"> </w:t>
      </w:r>
      <w:r w:rsidR="00D24DB0">
        <w:t>polynomial models</w:t>
      </w:r>
      <w:r w:rsidR="004F0C46">
        <w:t>,</w:t>
      </w:r>
      <w:r w:rsidR="004656F6">
        <w:t xml:space="preserve"> in addition to </w:t>
      </w:r>
      <w:r w:rsidR="004535FF">
        <w:t xml:space="preserve">the </w:t>
      </w:r>
      <w:r w:rsidR="004656F6">
        <w:t xml:space="preserve">aforementioned models, </w:t>
      </w:r>
      <w:r w:rsidR="00D24DB0">
        <w:t>also</w:t>
      </w:r>
      <w:r w:rsidR="004656F6">
        <w:t xml:space="preserve"> </w:t>
      </w:r>
      <w:r w:rsidR="004F0C46">
        <w:t>adequately fit</w:t>
      </w:r>
      <w:r w:rsidR="004656F6">
        <w:t xml:space="preserve"> the </w:t>
      </w:r>
      <w:r w:rsidR="004535FF">
        <w:t>female rat</w:t>
      </w:r>
      <w:r w:rsidR="004656F6">
        <w:t xml:space="preserve"> </w:t>
      </w:r>
      <w:r w:rsidR="00DF0BBD">
        <w:t xml:space="preserve">white blood cell </w:t>
      </w:r>
      <w:r w:rsidR="004656F6">
        <w:t>count data</w:t>
      </w:r>
      <w:r w:rsidR="004F7A1E">
        <w:t xml:space="preserve"> (HLS, 2001)</w:t>
      </w:r>
      <w:r w:rsidR="004656F6">
        <w:t>. The source of the discrepancy is</w:t>
      </w:r>
      <w:r w:rsidR="00DF0BBD">
        <w:t xml:space="preserve"> </w:t>
      </w:r>
      <w:r w:rsidR="004656F6">
        <w:t xml:space="preserve">related to the way that </w:t>
      </w:r>
      <w:proofErr w:type="gramStart"/>
      <w:r w:rsidR="004656F6">
        <w:t xml:space="preserve">restrictions were applied to </w:t>
      </w:r>
      <w:r w:rsidR="004656F6">
        <w:lastRenderedPageBreak/>
        <w:t>polynomial coefficients</w:t>
      </w:r>
      <w:r w:rsidR="003A4B8D">
        <w:t xml:space="preserve"> (</w:t>
      </w:r>
      <w:r w:rsidR="003A4B8D" w:rsidRPr="003A4B8D">
        <w:rPr>
          <w:rFonts w:cs="Arial"/>
          <w:i/>
        </w:rPr>
        <w:t>β</w:t>
      </w:r>
      <w:r w:rsidR="003A4B8D">
        <w:t>)</w:t>
      </w:r>
      <w:r w:rsidR="004656F6">
        <w:t xml:space="preserve"> during parameterization of</w:t>
      </w:r>
      <w:r w:rsidR="00B367AE">
        <w:t xml:space="preserve"> the </w:t>
      </w:r>
      <w:r w:rsidR="004535FF">
        <w:t xml:space="preserve">dose-response </w:t>
      </w:r>
      <w:r w:rsidR="00B367AE">
        <w:t>model</w:t>
      </w:r>
      <w:r w:rsidR="00D24DB0">
        <w:t xml:space="preserve"> and is</w:t>
      </w:r>
      <w:proofErr w:type="gramEnd"/>
      <w:r w:rsidR="00EA79CF">
        <w:t xml:space="preserve"> addressed in ARCADIS’ response to comment 3.</w:t>
      </w:r>
      <w:r w:rsidR="00246E2D">
        <w:rPr>
          <w:rFonts w:cs="Arial"/>
        </w:rPr>
        <w:t xml:space="preserve"> </w:t>
      </w:r>
      <w:r w:rsidR="004A5B88">
        <w:rPr>
          <w:rFonts w:cs="Arial"/>
        </w:rPr>
        <w:t xml:space="preserve">ARCADIS did not average the data incorrectly, but rather </w:t>
      </w:r>
      <w:r w:rsidR="00DF0BBD">
        <w:rPr>
          <w:rFonts w:cs="Arial"/>
        </w:rPr>
        <w:t xml:space="preserve">properly </w:t>
      </w:r>
      <w:r w:rsidR="004A5B88">
        <w:rPr>
          <w:rFonts w:cs="Arial"/>
        </w:rPr>
        <w:t>calculated an average BMDL</w:t>
      </w:r>
      <w:r w:rsidR="00855E29">
        <w:rPr>
          <w:rFonts w:cs="Arial"/>
        </w:rPr>
        <w:t xml:space="preserve"> using EPA guidance </w:t>
      </w:r>
      <w:r w:rsidR="00DF0BBD">
        <w:rPr>
          <w:rFonts w:cs="Arial"/>
        </w:rPr>
        <w:t xml:space="preserve">with EPA software available at the time. Based on this modeling with version 2.1.1 of EPA’s </w:t>
      </w:r>
      <w:r w:rsidR="0000482F">
        <w:rPr>
          <w:rFonts w:cs="Arial"/>
        </w:rPr>
        <w:t>BMD software</w:t>
      </w:r>
      <w:r w:rsidR="00DF0BBD">
        <w:rPr>
          <w:rFonts w:cs="Arial"/>
        </w:rPr>
        <w:t xml:space="preserve">, ARCADIS’ results differ </w:t>
      </w:r>
      <w:r w:rsidR="00855E29">
        <w:rPr>
          <w:rFonts w:cs="Arial"/>
        </w:rPr>
        <w:t xml:space="preserve">modestly from the approach taken by </w:t>
      </w:r>
      <w:r w:rsidR="000030EA">
        <w:rPr>
          <w:rFonts w:cs="Arial"/>
        </w:rPr>
        <w:t xml:space="preserve">Gradient (2014) and </w:t>
      </w:r>
      <w:r w:rsidR="00855E29">
        <w:rPr>
          <w:rFonts w:cs="Arial"/>
        </w:rPr>
        <w:t>Thompson et al. (201</w:t>
      </w:r>
      <w:r w:rsidR="008F5357">
        <w:rPr>
          <w:rFonts w:cs="Arial"/>
        </w:rPr>
        <w:t>3</w:t>
      </w:r>
      <w:r w:rsidR="00855E29">
        <w:rPr>
          <w:rFonts w:cs="Arial"/>
        </w:rPr>
        <w:t>).</w:t>
      </w:r>
    </w:p>
    <w:p w:rsidR="00C31544" w:rsidRPr="00C31544" w:rsidRDefault="00C31544" w:rsidP="008D5435">
      <w:pPr>
        <w:rPr>
          <w:rFonts w:cs="Arial"/>
          <w:b/>
        </w:rPr>
      </w:pPr>
      <w:r w:rsidRPr="00C31544">
        <w:rPr>
          <w:rFonts w:cs="Arial"/>
          <w:b/>
        </w:rPr>
        <w:t>REFERENCES</w:t>
      </w:r>
    </w:p>
    <w:p w:rsidR="00B96CD9" w:rsidRDefault="00B96CD9" w:rsidP="00B96CD9">
      <w:pPr>
        <w:rPr>
          <w:rFonts w:cs="Arial"/>
        </w:rPr>
      </w:pPr>
      <w:proofErr w:type="gramStart"/>
      <w:r>
        <w:rPr>
          <w:rFonts w:cs="Arial"/>
        </w:rPr>
        <w:t>ATSDR.</w:t>
      </w:r>
      <w:proofErr w:type="gramEnd"/>
      <w:r>
        <w:rPr>
          <w:rFonts w:cs="Arial"/>
        </w:rPr>
        <w:t xml:space="preserve"> (2011). </w:t>
      </w:r>
      <w:r w:rsidRPr="00B96CD9">
        <w:rPr>
          <w:rFonts w:cs="Arial"/>
          <w:i/>
        </w:rPr>
        <w:t>Health Consultation: Sulfolane</w:t>
      </w:r>
      <w:r w:rsidRPr="00B96CD9">
        <w:rPr>
          <w:rFonts w:cs="Arial"/>
        </w:rPr>
        <w:t>.</w:t>
      </w:r>
      <w:r>
        <w:rPr>
          <w:rFonts w:cs="Arial"/>
        </w:rPr>
        <w:t xml:space="preserve"> </w:t>
      </w:r>
      <w:r w:rsidRPr="00B96CD9">
        <w:rPr>
          <w:rFonts w:cs="Arial"/>
        </w:rPr>
        <w:t>55</w:t>
      </w:r>
      <w:r w:rsidR="00343ABC">
        <w:rPr>
          <w:rFonts w:cs="Arial"/>
        </w:rPr>
        <w:t xml:space="preserve"> </w:t>
      </w:r>
      <w:r w:rsidRPr="00B96CD9">
        <w:rPr>
          <w:rFonts w:cs="Arial"/>
        </w:rPr>
        <w:t>p., May 2.</w:t>
      </w:r>
    </w:p>
    <w:p w:rsidR="00C31544" w:rsidRDefault="00C31544" w:rsidP="00C31544">
      <w:pPr>
        <w:rPr>
          <w:rFonts w:cs="Arial"/>
        </w:rPr>
      </w:pPr>
      <w:proofErr w:type="gramStart"/>
      <w:r>
        <w:rPr>
          <w:rFonts w:cs="Arial"/>
        </w:rPr>
        <w:t>Gradient.</w:t>
      </w:r>
      <w:proofErr w:type="gramEnd"/>
      <w:r>
        <w:rPr>
          <w:rFonts w:cs="Arial"/>
        </w:rPr>
        <w:t xml:space="preserve"> </w:t>
      </w:r>
      <w:proofErr w:type="gramStart"/>
      <w:r>
        <w:rPr>
          <w:rFonts w:cs="Arial"/>
        </w:rPr>
        <w:t xml:space="preserve">(2014). </w:t>
      </w:r>
      <w:r w:rsidRPr="00C31544">
        <w:rPr>
          <w:rFonts w:cs="Arial"/>
          <w:i/>
        </w:rPr>
        <w:t>Review and Verification of Existing Sulfolane Dose-Response Assessments</w:t>
      </w:r>
      <w:r>
        <w:rPr>
          <w:rFonts w:cs="Arial"/>
        </w:rPr>
        <w:t>.</w:t>
      </w:r>
      <w:proofErr w:type="gramEnd"/>
      <w:r>
        <w:rPr>
          <w:rFonts w:cs="Arial"/>
        </w:rPr>
        <w:t xml:space="preserve"> </w:t>
      </w:r>
      <w:proofErr w:type="gramStart"/>
      <w:r>
        <w:rPr>
          <w:rFonts w:cs="Arial"/>
        </w:rPr>
        <w:t>Prepared for Alaska Department of Environmental Conservation.</w:t>
      </w:r>
      <w:proofErr w:type="gramEnd"/>
      <w:r>
        <w:rPr>
          <w:rFonts w:cs="Arial"/>
        </w:rPr>
        <w:t xml:space="preserve"> Cambridge, MA: Gradient Co</w:t>
      </w:r>
      <w:r w:rsidR="001906C8">
        <w:rPr>
          <w:rFonts w:cs="Arial"/>
        </w:rPr>
        <w:t>r</w:t>
      </w:r>
      <w:r>
        <w:rPr>
          <w:rFonts w:cs="Arial"/>
        </w:rPr>
        <w:t>poration</w:t>
      </w:r>
      <w:r w:rsidR="001906C8">
        <w:rPr>
          <w:rFonts w:cs="Arial"/>
        </w:rPr>
        <w:t>.</w:t>
      </w:r>
      <w:r>
        <w:rPr>
          <w:rFonts w:cs="Arial"/>
        </w:rPr>
        <w:t xml:space="preserve"> </w:t>
      </w:r>
    </w:p>
    <w:p w:rsidR="00C31544" w:rsidRDefault="00C31544" w:rsidP="00C31544">
      <w:pPr>
        <w:rPr>
          <w:rFonts w:cs="Arial"/>
        </w:rPr>
      </w:pPr>
      <w:proofErr w:type="gramStart"/>
      <w:r w:rsidRPr="004C7903">
        <w:rPr>
          <w:rFonts w:cs="Arial"/>
        </w:rPr>
        <w:t>HLS</w:t>
      </w:r>
      <w:r>
        <w:rPr>
          <w:rFonts w:cs="Arial"/>
        </w:rPr>
        <w:t xml:space="preserve"> (Huntingdon Life Sciences</w:t>
      </w:r>
      <w:r w:rsidRPr="004C7903">
        <w:rPr>
          <w:rFonts w:cs="Arial"/>
        </w:rPr>
        <w:t>).</w:t>
      </w:r>
      <w:proofErr w:type="gramEnd"/>
      <w:r w:rsidRPr="004C7903">
        <w:rPr>
          <w:rFonts w:cs="Arial"/>
        </w:rPr>
        <w:t xml:space="preserve"> </w:t>
      </w:r>
      <w:r>
        <w:rPr>
          <w:rFonts w:cs="Arial"/>
        </w:rPr>
        <w:t>(</w:t>
      </w:r>
      <w:r w:rsidRPr="004C7903">
        <w:rPr>
          <w:rFonts w:cs="Arial"/>
        </w:rPr>
        <w:t>2001</w:t>
      </w:r>
      <w:r>
        <w:rPr>
          <w:rFonts w:cs="Arial"/>
        </w:rPr>
        <w:t>)</w:t>
      </w:r>
      <w:r w:rsidRPr="004C7903">
        <w:rPr>
          <w:rFonts w:cs="Arial"/>
        </w:rPr>
        <w:t xml:space="preserve">. </w:t>
      </w:r>
      <w:r w:rsidR="0000482F">
        <w:rPr>
          <w:rFonts w:cs="Arial"/>
          <w:i/>
        </w:rPr>
        <w:t>Sulfolane T</w:t>
      </w:r>
      <w:r w:rsidRPr="00936FBB">
        <w:rPr>
          <w:rFonts w:cs="Arial"/>
          <w:i/>
        </w:rPr>
        <w:t xml:space="preserve">oxicity </w:t>
      </w:r>
      <w:r w:rsidR="0000482F">
        <w:rPr>
          <w:rFonts w:cs="Arial"/>
          <w:i/>
        </w:rPr>
        <w:t>S</w:t>
      </w:r>
      <w:r w:rsidRPr="00936FBB">
        <w:rPr>
          <w:rFonts w:cs="Arial"/>
          <w:i/>
        </w:rPr>
        <w:t xml:space="preserve">tudy by </w:t>
      </w:r>
      <w:r w:rsidR="0000482F">
        <w:rPr>
          <w:rFonts w:cs="Arial"/>
          <w:i/>
        </w:rPr>
        <w:t>O</w:t>
      </w:r>
      <w:r w:rsidRPr="00936FBB">
        <w:rPr>
          <w:rFonts w:cs="Arial"/>
          <w:i/>
        </w:rPr>
        <w:t xml:space="preserve">ral </w:t>
      </w:r>
      <w:r w:rsidR="0000482F">
        <w:rPr>
          <w:rFonts w:cs="Arial"/>
          <w:i/>
        </w:rPr>
        <w:t>A</w:t>
      </w:r>
      <w:r w:rsidRPr="00936FBB">
        <w:rPr>
          <w:rFonts w:cs="Arial"/>
          <w:i/>
        </w:rPr>
        <w:t xml:space="preserve">dministration </w:t>
      </w:r>
      <w:proofErr w:type="gramStart"/>
      <w:r w:rsidR="0000482F">
        <w:rPr>
          <w:rFonts w:cs="Arial"/>
          <w:i/>
        </w:rPr>
        <w:t>V</w:t>
      </w:r>
      <w:r w:rsidRPr="00936FBB">
        <w:rPr>
          <w:rFonts w:cs="Arial"/>
          <w:i/>
        </w:rPr>
        <w:t>ia</w:t>
      </w:r>
      <w:proofErr w:type="gramEnd"/>
      <w:r w:rsidRPr="00936FBB">
        <w:rPr>
          <w:rFonts w:cs="Arial"/>
          <w:i/>
        </w:rPr>
        <w:t xml:space="preserve"> the </w:t>
      </w:r>
      <w:r w:rsidR="0000482F">
        <w:rPr>
          <w:rFonts w:cs="Arial"/>
          <w:i/>
        </w:rPr>
        <w:t>D</w:t>
      </w:r>
      <w:r w:rsidRPr="00936FBB">
        <w:rPr>
          <w:rFonts w:cs="Arial"/>
          <w:i/>
        </w:rPr>
        <w:t xml:space="preserve">rinking </w:t>
      </w:r>
      <w:r w:rsidR="0000482F">
        <w:rPr>
          <w:rFonts w:cs="Arial"/>
          <w:i/>
        </w:rPr>
        <w:t>W</w:t>
      </w:r>
      <w:r w:rsidRPr="00936FBB">
        <w:rPr>
          <w:rFonts w:cs="Arial"/>
          <w:i/>
        </w:rPr>
        <w:t>ater to C</w:t>
      </w:r>
      <w:r w:rsidR="008518F4">
        <w:rPr>
          <w:rFonts w:cs="Arial"/>
          <w:i/>
        </w:rPr>
        <w:t>D</w:t>
      </w:r>
      <w:r w:rsidRPr="00936FBB">
        <w:rPr>
          <w:rFonts w:cs="Arial"/>
          <w:i/>
        </w:rPr>
        <w:t xml:space="preserve"> </w:t>
      </w:r>
      <w:r w:rsidR="0000482F">
        <w:rPr>
          <w:rFonts w:cs="Arial"/>
          <w:i/>
        </w:rPr>
        <w:t>R</w:t>
      </w:r>
      <w:r w:rsidRPr="00936FBB">
        <w:rPr>
          <w:rFonts w:cs="Arial"/>
          <w:i/>
        </w:rPr>
        <w:t xml:space="preserve">ats for 13 </w:t>
      </w:r>
      <w:r w:rsidR="0000482F">
        <w:rPr>
          <w:rFonts w:cs="Arial"/>
          <w:i/>
        </w:rPr>
        <w:t>W</w:t>
      </w:r>
      <w:r w:rsidRPr="00936FBB">
        <w:rPr>
          <w:rFonts w:cs="Arial"/>
          <w:i/>
        </w:rPr>
        <w:t xml:space="preserve">eeks: Volume </w:t>
      </w:r>
      <w:r w:rsidR="0000482F">
        <w:rPr>
          <w:rFonts w:cs="Arial"/>
          <w:i/>
        </w:rPr>
        <w:t>O</w:t>
      </w:r>
      <w:r w:rsidRPr="00936FBB">
        <w:rPr>
          <w:rFonts w:cs="Arial"/>
          <w:i/>
        </w:rPr>
        <w:t>ne</w:t>
      </w:r>
      <w:r w:rsidRPr="00102692">
        <w:rPr>
          <w:rFonts w:cs="Arial"/>
        </w:rPr>
        <w:t>. Huntingdon, England: Huntingdon Life Sciences Ltd.</w:t>
      </w:r>
    </w:p>
    <w:p w:rsidR="00C31544" w:rsidRDefault="00C31544" w:rsidP="00C31544">
      <w:pPr>
        <w:rPr>
          <w:rFonts w:cs="Arial"/>
        </w:rPr>
      </w:pPr>
      <w:r>
        <w:rPr>
          <w:rFonts w:cs="Arial"/>
        </w:rPr>
        <w:t>Magee, B. (AR</w:t>
      </w:r>
      <w:r w:rsidR="00467CEB">
        <w:rPr>
          <w:rFonts w:cs="Arial"/>
        </w:rPr>
        <w:t>C</w:t>
      </w:r>
      <w:r>
        <w:rPr>
          <w:rFonts w:cs="Arial"/>
        </w:rPr>
        <w:t xml:space="preserve">ADIS U.S., Inc.). (2012). </w:t>
      </w:r>
      <w:r w:rsidRPr="00770A16">
        <w:rPr>
          <w:rFonts w:cs="Arial"/>
          <w:i/>
        </w:rPr>
        <w:t>Memorandum to Flint Hills Reso</w:t>
      </w:r>
      <w:r w:rsidR="00770A16">
        <w:rPr>
          <w:rFonts w:cs="Arial"/>
          <w:i/>
        </w:rPr>
        <w:t>urces Alaska re: Assessment of Dose Response Information for S</w:t>
      </w:r>
      <w:r w:rsidRPr="00770A16">
        <w:rPr>
          <w:rFonts w:cs="Arial"/>
          <w:i/>
        </w:rPr>
        <w:t>ulfolane</w:t>
      </w:r>
      <w:r>
        <w:rPr>
          <w:rFonts w:cs="Arial"/>
        </w:rPr>
        <w:t xml:space="preserve">. May 21. </w:t>
      </w:r>
    </w:p>
    <w:p w:rsidR="00C31544" w:rsidRDefault="004071C3" w:rsidP="008D5435">
      <w:r w:rsidRPr="004071C3">
        <w:t xml:space="preserve">Thompson, C., Gaylor D., </w:t>
      </w:r>
      <w:proofErr w:type="spellStart"/>
      <w:r w:rsidRPr="004071C3">
        <w:t>Tachovsky</w:t>
      </w:r>
      <w:proofErr w:type="spellEnd"/>
      <w:r w:rsidRPr="004071C3">
        <w:t xml:space="preserve"> J., Perry C., </w:t>
      </w:r>
      <w:proofErr w:type="spellStart"/>
      <w:r w:rsidRPr="004071C3">
        <w:t>Carakostas</w:t>
      </w:r>
      <w:proofErr w:type="spellEnd"/>
      <w:r w:rsidRPr="004071C3">
        <w:t xml:space="preserve">, M. and Haws L. </w:t>
      </w:r>
      <w:r w:rsidR="0000482F">
        <w:t>(</w:t>
      </w:r>
      <w:r w:rsidRPr="004071C3">
        <w:t>201</w:t>
      </w:r>
      <w:r w:rsidR="008F5357">
        <w:t>3</w:t>
      </w:r>
      <w:r w:rsidR="0000482F">
        <w:t>)</w:t>
      </w:r>
      <w:r w:rsidRPr="004071C3">
        <w:t xml:space="preserve">. </w:t>
      </w:r>
      <w:r w:rsidR="00770A16">
        <w:rPr>
          <w:i/>
        </w:rPr>
        <w:t>Development of A C</w:t>
      </w:r>
      <w:r w:rsidRPr="00BE4B5B">
        <w:rPr>
          <w:i/>
        </w:rPr>
        <w:t xml:space="preserve">hronic </w:t>
      </w:r>
      <w:r w:rsidR="00770A16">
        <w:rPr>
          <w:i/>
        </w:rPr>
        <w:t>N</w:t>
      </w:r>
      <w:r w:rsidRPr="00BE4B5B">
        <w:rPr>
          <w:i/>
        </w:rPr>
        <w:t xml:space="preserve">oncancer </w:t>
      </w:r>
      <w:r w:rsidR="00770A16">
        <w:rPr>
          <w:i/>
        </w:rPr>
        <w:t>O</w:t>
      </w:r>
      <w:r w:rsidRPr="00BE4B5B">
        <w:rPr>
          <w:i/>
        </w:rPr>
        <w:t>ral</w:t>
      </w:r>
      <w:r w:rsidR="00770A16">
        <w:rPr>
          <w:i/>
        </w:rPr>
        <w:t xml:space="preserve"> Reference Dose and Drinking Water Screening Level for Sulfolane Using Benchmark Dose M</w:t>
      </w:r>
      <w:r w:rsidRPr="00BE4B5B">
        <w:rPr>
          <w:i/>
        </w:rPr>
        <w:t>odeling</w:t>
      </w:r>
      <w:r w:rsidRPr="004071C3">
        <w:t xml:space="preserve">. </w:t>
      </w:r>
      <w:proofErr w:type="gramStart"/>
      <w:r w:rsidRPr="00676DFA">
        <w:rPr>
          <w:i/>
        </w:rPr>
        <w:t>Journal of Applied Toxicology</w:t>
      </w:r>
      <w:r w:rsidRPr="004071C3">
        <w:t>.</w:t>
      </w:r>
      <w:proofErr w:type="gramEnd"/>
      <w:r w:rsidRPr="004071C3">
        <w:t xml:space="preserve">  </w:t>
      </w:r>
      <w:r>
        <w:t xml:space="preserve">33(12): 1395-1406. </w:t>
      </w:r>
    </w:p>
    <w:p w:rsidR="00F034E7" w:rsidRPr="00D83836" w:rsidRDefault="00F034E7" w:rsidP="00F034E7">
      <w:proofErr w:type="gramStart"/>
      <w:r>
        <w:t xml:space="preserve">US </w:t>
      </w:r>
      <w:r w:rsidRPr="00D83836">
        <w:t>EPA.</w:t>
      </w:r>
      <w:proofErr w:type="gramEnd"/>
      <w:r w:rsidRPr="00D83836">
        <w:t xml:space="preserve"> </w:t>
      </w:r>
      <w:r>
        <w:t>(</w:t>
      </w:r>
      <w:r w:rsidRPr="00D83836">
        <w:t>1995</w:t>
      </w:r>
      <w:r>
        <w:t>)</w:t>
      </w:r>
      <w:r w:rsidRPr="004C7903">
        <w:t xml:space="preserve">. </w:t>
      </w:r>
      <w:proofErr w:type="gramStart"/>
      <w:r w:rsidRPr="00F034E7">
        <w:rPr>
          <w:i/>
        </w:rPr>
        <w:t>The</w:t>
      </w:r>
      <w:proofErr w:type="gramEnd"/>
      <w:r w:rsidRPr="00F034E7">
        <w:rPr>
          <w:i/>
        </w:rPr>
        <w:t xml:space="preserve"> Use </w:t>
      </w:r>
      <w:r w:rsidR="001906C8">
        <w:rPr>
          <w:i/>
        </w:rPr>
        <w:t>of the Benchmark Dose Approach i</w:t>
      </w:r>
      <w:r w:rsidRPr="00F034E7">
        <w:rPr>
          <w:i/>
        </w:rPr>
        <w:t>n Health Risk Assessment</w:t>
      </w:r>
      <w:r>
        <w:t xml:space="preserve">. </w:t>
      </w:r>
      <w:r w:rsidRPr="00D83836">
        <w:t xml:space="preserve">Risk Assessment Forum. </w:t>
      </w:r>
      <w:proofErr w:type="gramStart"/>
      <w:r w:rsidRPr="004C7903">
        <w:t>EPA/630/R-94/007.</w:t>
      </w:r>
      <w:proofErr w:type="gramEnd"/>
      <w:r w:rsidRPr="004C7903">
        <w:t xml:space="preserve"> </w:t>
      </w:r>
      <w:proofErr w:type="gramStart"/>
      <w:r w:rsidRPr="004C7903">
        <w:t>February</w:t>
      </w:r>
      <w:r w:rsidRPr="00D83836">
        <w:t>.</w:t>
      </w:r>
      <w:proofErr w:type="gramEnd"/>
      <w:r w:rsidRPr="00D83836">
        <w:t xml:space="preserve"> </w:t>
      </w:r>
    </w:p>
    <w:p w:rsidR="00770A16" w:rsidRPr="00D83836" w:rsidRDefault="00770A16" w:rsidP="00770A16">
      <w:proofErr w:type="gramStart"/>
      <w:r>
        <w:t xml:space="preserve">US </w:t>
      </w:r>
      <w:r w:rsidRPr="00D83836">
        <w:t>EPA.</w:t>
      </w:r>
      <w:proofErr w:type="gramEnd"/>
      <w:r w:rsidRPr="00D83836">
        <w:t xml:space="preserve"> </w:t>
      </w:r>
      <w:proofErr w:type="gramStart"/>
      <w:r w:rsidR="00F6601F">
        <w:t>(</w:t>
      </w:r>
      <w:r w:rsidRPr="00D83836">
        <w:t>2000</w:t>
      </w:r>
      <w:r w:rsidR="00F6601F">
        <w:t>)</w:t>
      </w:r>
      <w:r w:rsidRPr="00D83836">
        <w:t xml:space="preserve">. </w:t>
      </w:r>
      <w:r w:rsidRPr="00770A16">
        <w:rPr>
          <w:i/>
        </w:rPr>
        <w:t>Benchmark Dose Technical Guidance Document</w:t>
      </w:r>
      <w:r w:rsidRPr="00D83836">
        <w:t>.</w:t>
      </w:r>
      <w:proofErr w:type="gramEnd"/>
      <w:r w:rsidRPr="00D83836">
        <w:t xml:space="preserve"> </w:t>
      </w:r>
      <w:proofErr w:type="gramStart"/>
      <w:r w:rsidRPr="00D83836">
        <w:t>External Review Draft.</w:t>
      </w:r>
      <w:proofErr w:type="gramEnd"/>
      <w:r w:rsidRPr="00D83836">
        <w:t xml:space="preserve"> </w:t>
      </w:r>
      <w:proofErr w:type="gramStart"/>
      <w:r w:rsidRPr="00D83836">
        <w:t>EPA/630/R-00/001.</w:t>
      </w:r>
      <w:proofErr w:type="gramEnd"/>
      <w:r w:rsidRPr="00D83836">
        <w:t xml:space="preserve"> Washington, DC:</w:t>
      </w:r>
      <w:r>
        <w:t xml:space="preserve"> </w:t>
      </w:r>
      <w:r w:rsidRPr="00D83836">
        <w:t>Risk Assessment Forum</w:t>
      </w:r>
      <w:r w:rsidR="00F6601F">
        <w:t>.</w:t>
      </w:r>
      <w:r w:rsidR="00F034E7">
        <w:t xml:space="preserve"> </w:t>
      </w:r>
      <w:proofErr w:type="gramStart"/>
      <w:r w:rsidR="00F034E7">
        <w:t>October.</w:t>
      </w:r>
      <w:proofErr w:type="gramEnd"/>
    </w:p>
    <w:p w:rsidR="00770A16" w:rsidRDefault="00770A16" w:rsidP="008D5435">
      <w:proofErr w:type="gramStart"/>
      <w:r>
        <w:t>US EPA</w:t>
      </w:r>
      <w:r w:rsidR="00F6601F">
        <w:t>.</w:t>
      </w:r>
      <w:proofErr w:type="gramEnd"/>
      <w:r w:rsidR="00F6601F">
        <w:t xml:space="preserve"> </w:t>
      </w:r>
      <w:proofErr w:type="gramStart"/>
      <w:r w:rsidR="00F6601F">
        <w:t xml:space="preserve">(2012). </w:t>
      </w:r>
      <w:r w:rsidR="00F6601F" w:rsidRPr="00F6601F">
        <w:rPr>
          <w:i/>
        </w:rPr>
        <w:t>Benchmark Dose Technical Guidance</w:t>
      </w:r>
      <w:r w:rsidR="00F6601F" w:rsidRPr="004C7903">
        <w:t>.</w:t>
      </w:r>
      <w:proofErr w:type="gramEnd"/>
      <w:r w:rsidR="00F6601F" w:rsidRPr="004C7903">
        <w:t xml:space="preserve"> </w:t>
      </w:r>
      <w:proofErr w:type="gramStart"/>
      <w:r w:rsidR="00F6601F" w:rsidRPr="004C7903">
        <w:t>EPA/100/</w:t>
      </w:r>
      <w:r w:rsidR="00F6601F">
        <w:t>R</w:t>
      </w:r>
      <w:r w:rsidR="00F6601F" w:rsidRPr="004C7903">
        <w:t>-12/001.</w:t>
      </w:r>
      <w:proofErr w:type="gramEnd"/>
      <w:r w:rsidR="00F6601F" w:rsidRPr="004C7903">
        <w:t xml:space="preserve"> Risk Assessment Forum. Washington, DC. June.</w:t>
      </w:r>
    </w:p>
    <w:sectPr w:rsidR="00770A16" w:rsidSect="005050C4">
      <w:footerReference w:type="default" r:id="rId8"/>
      <w:endnotePr>
        <w:numFmt w:val="decimal"/>
      </w:endnotePr>
      <w:pgSz w:w="12242" w:h="15842" w:code="1"/>
      <w:pgMar w:top="1980" w:right="1418" w:bottom="1350" w:left="1418" w:header="284" w:footer="737"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C56" w:rsidRDefault="00102C56">
      <w:pPr>
        <w:spacing w:line="20" w:lineRule="exact"/>
      </w:pPr>
    </w:p>
  </w:endnote>
  <w:endnote w:type="continuationSeparator" w:id="0">
    <w:p w:rsidR="00102C56" w:rsidRDefault="00102C56">
      <w:r>
        <w:rPr>
          <w:rFonts w:ascii="Courier New" w:hAnsi="Courier New"/>
          <w:sz w:val="24"/>
        </w:rPr>
        <w:t xml:space="preserve"> </w:t>
      </w:r>
    </w:p>
  </w:endnote>
  <w:endnote w:type="continuationNotice" w:id="1">
    <w:p w:rsidR="00102C56" w:rsidRDefault="00102C56">
      <w:r>
        <w:rPr>
          <w:rFonts w:ascii="Courier New" w:hAnsi="Courier New"/>
          <w:sz w:val="24"/>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Roman">
    <w:altName w:val="Lucida Sans Unicode"/>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utiger Bold">
    <w:altName w:val="Impact"/>
    <w:charset w:val="00"/>
    <w:family w:val="swiss"/>
    <w:pitch w:val="variable"/>
    <w:sig w:usb0="80000027"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C46" w:rsidRPr="00F70260" w:rsidRDefault="004F0C46">
    <w:pPr>
      <w:pStyle w:val="Footer"/>
      <w:jc w:val="right"/>
      <w:rPr>
        <w:sz w:val="16"/>
        <w:szCs w:val="16"/>
      </w:rPr>
    </w:pPr>
    <w:r w:rsidRPr="00F70260">
      <w:rPr>
        <w:sz w:val="16"/>
        <w:szCs w:val="16"/>
      </w:rPr>
      <w:t>Page</w:t>
    </w:r>
    <w:r>
      <w:t xml:space="preserve"> </w:t>
    </w:r>
    <w:sdt>
      <w:sdtPr>
        <w:id w:val="422001885"/>
        <w:docPartObj>
          <w:docPartGallery w:val="Page Numbers (Bottom of Page)"/>
          <w:docPartUnique/>
        </w:docPartObj>
      </w:sdtPr>
      <w:sdtEndPr>
        <w:rPr>
          <w:noProof/>
          <w:sz w:val="16"/>
          <w:szCs w:val="16"/>
        </w:rPr>
      </w:sdtEndPr>
      <w:sdtContent>
        <w:r w:rsidR="00D7721B" w:rsidRPr="00F70260">
          <w:rPr>
            <w:sz w:val="16"/>
            <w:szCs w:val="16"/>
          </w:rPr>
          <w:fldChar w:fldCharType="begin"/>
        </w:r>
        <w:r w:rsidRPr="00F70260">
          <w:rPr>
            <w:sz w:val="16"/>
            <w:szCs w:val="16"/>
          </w:rPr>
          <w:instrText xml:space="preserve"> PAGE   \* MERGEFORMAT </w:instrText>
        </w:r>
        <w:r w:rsidR="00D7721B" w:rsidRPr="00F70260">
          <w:rPr>
            <w:sz w:val="16"/>
            <w:szCs w:val="16"/>
          </w:rPr>
          <w:fldChar w:fldCharType="separate"/>
        </w:r>
        <w:r w:rsidR="00472BDF">
          <w:rPr>
            <w:noProof/>
            <w:sz w:val="16"/>
            <w:szCs w:val="16"/>
          </w:rPr>
          <w:t>1</w:t>
        </w:r>
        <w:r w:rsidR="00D7721B" w:rsidRPr="00F70260">
          <w:rPr>
            <w:noProof/>
            <w:sz w:val="16"/>
            <w:szCs w:val="16"/>
          </w:rPr>
          <w:fldChar w:fldCharType="end"/>
        </w:r>
        <w:r w:rsidR="00EA79CF">
          <w:rPr>
            <w:noProof/>
            <w:sz w:val="16"/>
            <w:szCs w:val="16"/>
          </w:rPr>
          <w:t>/4</w:t>
        </w:r>
      </w:sdtContent>
    </w:sdt>
  </w:p>
  <w:p w:rsidR="004F0C46" w:rsidRDefault="004F0C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C56" w:rsidRDefault="00102C56">
      <w:r>
        <w:rPr>
          <w:rFonts w:ascii="Courier New" w:hAnsi="Courier New"/>
          <w:sz w:val="24"/>
        </w:rPr>
        <w:separator/>
      </w:r>
    </w:p>
  </w:footnote>
  <w:footnote w:type="continuationSeparator" w:id="0">
    <w:p w:rsidR="00102C56" w:rsidRDefault="00102C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BD4CC74"/>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9A7AC6E2"/>
    <w:lvl w:ilvl="0">
      <w:numFmt w:val="decimal"/>
      <w:lvlText w:val="*"/>
      <w:lvlJc w:val="left"/>
    </w:lvl>
  </w:abstractNum>
  <w:abstractNum w:abstractNumId="2">
    <w:nsid w:val="023D0271"/>
    <w:multiLevelType w:val="hybridMultilevel"/>
    <w:tmpl w:val="CC043CE8"/>
    <w:lvl w:ilvl="0" w:tplc="1B84F148">
      <w:start w:val="1"/>
      <w:numFmt w:val="bullet"/>
      <w:lvlText w:val=""/>
      <w:lvlJc w:val="left"/>
      <w:pPr>
        <w:tabs>
          <w:tab w:val="num" w:pos="360"/>
        </w:tabs>
        <w:ind w:left="360" w:hanging="360"/>
      </w:pPr>
      <w:rPr>
        <w:rFonts w:ascii="Monotype Sorts" w:hAnsi="Monotype Sorts" w:hint="default"/>
        <w:sz w:val="1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58101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D594C40"/>
    <w:multiLevelType w:val="hybridMultilevel"/>
    <w:tmpl w:val="D02A9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BF7F46"/>
    <w:multiLevelType w:val="multilevel"/>
    <w:tmpl w:val="C3BCBEE2"/>
    <w:lvl w:ilvl="0">
      <w:start w:val="1"/>
      <w:numFmt w:val="bullet"/>
      <w:lvlText w:val=""/>
      <w:lvlJc w:val="left"/>
      <w:pPr>
        <w:tabs>
          <w:tab w:val="num" w:pos="360"/>
        </w:tabs>
        <w:ind w:left="360" w:hanging="360"/>
      </w:pPr>
      <w:rPr>
        <w:rFonts w:ascii="Wingdings" w:hAnsi="Wingdings" w:hint="default"/>
        <w:sz w:val="10"/>
        <w:szCs w:val="1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8CE4859"/>
    <w:multiLevelType w:val="hybridMultilevel"/>
    <w:tmpl w:val="694C1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C74FCC"/>
    <w:multiLevelType w:val="hybridMultilevel"/>
    <w:tmpl w:val="26C83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E64EDB"/>
    <w:multiLevelType w:val="hybridMultilevel"/>
    <w:tmpl w:val="747ACED0"/>
    <w:lvl w:ilvl="0" w:tplc="CBC843EA">
      <w:start w:val="1"/>
      <w:numFmt w:val="bullet"/>
      <w:lvlText w:val=""/>
      <w:lvlJc w:val="left"/>
      <w:pPr>
        <w:tabs>
          <w:tab w:val="num" w:pos="360"/>
        </w:tabs>
        <w:ind w:left="360" w:hanging="360"/>
      </w:pPr>
      <w:rPr>
        <w:rFonts w:ascii="Wingdings" w:hAnsi="Wingdings" w:hint="default"/>
        <w:sz w:val="10"/>
        <w:szCs w:val="1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E3625B"/>
    <w:multiLevelType w:val="hybridMultilevel"/>
    <w:tmpl w:val="24621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902FC9"/>
    <w:multiLevelType w:val="hybridMultilevel"/>
    <w:tmpl w:val="0212D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A42524B"/>
    <w:multiLevelType w:val="hybridMultilevel"/>
    <w:tmpl w:val="9E769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3487F7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35F052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CCE766C"/>
    <w:multiLevelType w:val="hybridMultilevel"/>
    <w:tmpl w:val="A934E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90272E"/>
    <w:multiLevelType w:val="hybridMultilevel"/>
    <w:tmpl w:val="768E97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491E3ECF"/>
    <w:multiLevelType w:val="hybridMultilevel"/>
    <w:tmpl w:val="7172A7F8"/>
    <w:lvl w:ilvl="0" w:tplc="75E2F700">
      <w:start w:val="1"/>
      <w:numFmt w:val="upperLetter"/>
      <w:pStyle w:val="TableofFigures"/>
      <w:lvlText w:val="%1"/>
      <w:lvlJc w:val="left"/>
      <w:pPr>
        <w:tabs>
          <w:tab w:val="num" w:pos="1152"/>
        </w:tabs>
        <w:ind w:left="1152" w:hanging="562"/>
      </w:pPr>
      <w:rPr>
        <w:rFonts w:ascii="Frutiger Roman" w:hAnsi="Frutiger Roman" w:hint="default"/>
        <w:b w:val="0"/>
        <w:i w:val="0"/>
        <w:sz w:val="18"/>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7">
    <w:nsid w:val="5178385B"/>
    <w:multiLevelType w:val="hybridMultilevel"/>
    <w:tmpl w:val="51D82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5026E34"/>
    <w:multiLevelType w:val="hybridMultilevel"/>
    <w:tmpl w:val="ED28D1B2"/>
    <w:lvl w:ilvl="0" w:tplc="2124C736">
      <w:numFmt w:val="bullet"/>
      <w:lvlText w:val=""/>
      <w:lvlJc w:val="left"/>
      <w:pPr>
        <w:ind w:left="2160" w:hanging="72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7650248"/>
    <w:multiLevelType w:val="hybridMultilevel"/>
    <w:tmpl w:val="7F4C0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671031"/>
    <w:multiLevelType w:val="hybridMultilevel"/>
    <w:tmpl w:val="96E2E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3A1C5B"/>
    <w:multiLevelType w:val="hybridMultilevel"/>
    <w:tmpl w:val="1DEC37DC"/>
    <w:lvl w:ilvl="0" w:tplc="A89844BA">
      <w:start w:val="1"/>
      <w:numFmt w:val="bullet"/>
      <w:pStyle w:val="ListBullet2"/>
      <w:lvlText w:val="–"/>
      <w:lvlJc w:val="left"/>
      <w:pPr>
        <w:tabs>
          <w:tab w:val="num" w:pos="792"/>
        </w:tabs>
        <w:ind w:left="792"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73135ECB"/>
    <w:multiLevelType w:val="hybridMultilevel"/>
    <w:tmpl w:val="A3243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9A032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969040B"/>
    <w:multiLevelType w:val="hybridMultilevel"/>
    <w:tmpl w:val="2076ABB4"/>
    <w:lvl w:ilvl="0" w:tplc="5A68A8E6">
      <w:start w:val="1"/>
      <w:numFmt w:val="bullet"/>
      <w:pStyle w:val="ListBullet"/>
      <w:lvlText w:val="•"/>
      <w:lvlJc w:val="left"/>
      <w:pPr>
        <w:tabs>
          <w:tab w:val="num" w:pos="360"/>
        </w:tabs>
        <w:ind w:left="360" w:hanging="360"/>
      </w:pPr>
      <w:rPr>
        <w:rFonts w:ascii="Arial" w:hAnsi="Arial" w:hint="default"/>
        <w:sz w:val="28"/>
        <w:szCs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BC20879"/>
    <w:multiLevelType w:val="hybridMultilevel"/>
    <w:tmpl w:val="471C6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lvlText w:val=""/>
        <w:legacy w:legacy="1" w:legacySpace="0" w:legacyIndent="340"/>
        <w:lvlJc w:val="left"/>
        <w:pPr>
          <w:ind w:left="340" w:hanging="340"/>
        </w:pPr>
        <w:rPr>
          <w:rFonts w:ascii="Monotype Sorts" w:hAnsi="Monotype Sorts" w:hint="default"/>
          <w:sz w:val="10"/>
        </w:rPr>
      </w:lvl>
    </w:lvlOverride>
  </w:num>
  <w:num w:numId="2">
    <w:abstractNumId w:val="2"/>
  </w:num>
  <w:num w:numId="3">
    <w:abstractNumId w:val="8"/>
  </w:num>
  <w:num w:numId="4">
    <w:abstractNumId w:val="0"/>
  </w:num>
  <w:num w:numId="5">
    <w:abstractNumId w:val="21"/>
  </w:num>
  <w:num w:numId="6">
    <w:abstractNumId w:val="16"/>
  </w:num>
  <w:num w:numId="7">
    <w:abstractNumId w:val="8"/>
  </w:num>
  <w:num w:numId="8">
    <w:abstractNumId w:val="21"/>
  </w:num>
  <w:num w:numId="9">
    <w:abstractNumId w:val="16"/>
  </w:num>
  <w:num w:numId="10">
    <w:abstractNumId w:val="12"/>
  </w:num>
  <w:num w:numId="11">
    <w:abstractNumId w:val="5"/>
  </w:num>
  <w:num w:numId="12">
    <w:abstractNumId w:val="24"/>
  </w:num>
  <w:num w:numId="13">
    <w:abstractNumId w:val="23"/>
  </w:num>
  <w:num w:numId="14">
    <w:abstractNumId w:val="13"/>
  </w:num>
  <w:num w:numId="15">
    <w:abstractNumId w:val="3"/>
  </w:num>
  <w:num w:numId="16">
    <w:abstractNumId w:val="4"/>
  </w:num>
  <w:num w:numId="17">
    <w:abstractNumId w:val="25"/>
  </w:num>
  <w:num w:numId="18">
    <w:abstractNumId w:val="14"/>
  </w:num>
  <w:num w:numId="19">
    <w:abstractNumId w:val="19"/>
  </w:num>
  <w:num w:numId="20">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6"/>
  </w:num>
  <w:num w:numId="23">
    <w:abstractNumId w:val="22"/>
  </w:num>
  <w:num w:numId="24">
    <w:abstractNumId w:val="15"/>
  </w:num>
  <w:num w:numId="25">
    <w:abstractNumId w:val="18"/>
  </w:num>
  <w:num w:numId="26">
    <w:abstractNumId w:val="17"/>
  </w:num>
  <w:num w:numId="27">
    <w:abstractNumId w:val="11"/>
  </w:num>
  <w:num w:numId="28">
    <w:abstractNumId w:val="10"/>
  </w:num>
  <w:num w:numId="29">
    <w:abstractNumId w:val="20"/>
  </w:num>
  <w:num w:numId="3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TrueTypeFonts/>
  <w:saveSubsetFonts/>
  <w:proofState w:spelling="clean" w:grammar="clean"/>
  <w:attachedTemplate r:id="rId1"/>
  <w:stylePaneFormatFilter w:val="3001"/>
  <w:defaultTabStop w:val="720"/>
  <w:hyphenationZone w:val="482"/>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fill="f" fillcolor="white">
      <v:fill color="white" on="f"/>
      <o:colormru v:ext="edit" colors="#07657b"/>
    </o:shapedefaults>
  </w:hdrShapeDefaults>
  <w:footnotePr>
    <w:footnote w:id="-1"/>
    <w:footnote w:id="0"/>
  </w:footnotePr>
  <w:endnotePr>
    <w:numFmt w:val="decimal"/>
    <w:endnote w:id="-1"/>
    <w:endnote w:id="0"/>
    <w:endnote w:id="1"/>
  </w:endnotePr>
  <w:compat>
    <w:spaceForUL/>
    <w:balanceSingleByteDoubleByteWidth/>
    <w:ulTrailSpace/>
    <w:doNotExpandShiftReturn/>
  </w:compat>
  <w:docVars>
    <w:docVar w:name="ADDRESS" w:val="6723 Towpath Road_x000D_P.O. Box 66"/>
    <w:docVar w:name="CITY" w:val="Syracuse"/>
    <w:docVar w:name="ENTITY" w:val="ARCADIS of New York, Inc."/>
    <w:docVar w:name="FAX" w:val="315.449.0017"/>
    <w:docVar w:name="PHONE" w:val="315.671.9569"/>
    <w:docVar w:name="SJABLOONID" w:val="HEIDEMIJ"/>
    <w:docVar w:name="STATE" w:val="New York"/>
    <w:docVar w:name="ZIP" w:val="13214-0066"/>
  </w:docVars>
  <w:rsids>
    <w:rsidRoot w:val="00F52E52"/>
    <w:rsid w:val="00000650"/>
    <w:rsid w:val="00002BCE"/>
    <w:rsid w:val="000030EA"/>
    <w:rsid w:val="00004633"/>
    <w:rsid w:val="0000482F"/>
    <w:rsid w:val="000107D7"/>
    <w:rsid w:val="00023D31"/>
    <w:rsid w:val="00024398"/>
    <w:rsid w:val="00025794"/>
    <w:rsid w:val="000263EA"/>
    <w:rsid w:val="00027D54"/>
    <w:rsid w:val="00030D6C"/>
    <w:rsid w:val="0003294E"/>
    <w:rsid w:val="00043753"/>
    <w:rsid w:val="000564C4"/>
    <w:rsid w:val="000622FC"/>
    <w:rsid w:val="000625F2"/>
    <w:rsid w:val="000746CA"/>
    <w:rsid w:val="00074E90"/>
    <w:rsid w:val="00080629"/>
    <w:rsid w:val="00081027"/>
    <w:rsid w:val="000836BB"/>
    <w:rsid w:val="00095FE9"/>
    <w:rsid w:val="000A002E"/>
    <w:rsid w:val="000A1838"/>
    <w:rsid w:val="000A1866"/>
    <w:rsid w:val="000A7F6D"/>
    <w:rsid w:val="000B3D93"/>
    <w:rsid w:val="000B50D3"/>
    <w:rsid w:val="000B7E5E"/>
    <w:rsid w:val="000C0407"/>
    <w:rsid w:val="000C4FAC"/>
    <w:rsid w:val="000C7812"/>
    <w:rsid w:val="000D216B"/>
    <w:rsid w:val="000D6AB6"/>
    <w:rsid w:val="000D7994"/>
    <w:rsid w:val="000E0DE0"/>
    <w:rsid w:val="000E14E2"/>
    <w:rsid w:val="000E38A0"/>
    <w:rsid w:val="000E56FD"/>
    <w:rsid w:val="000F107A"/>
    <w:rsid w:val="000F2079"/>
    <w:rsid w:val="000F3B0B"/>
    <w:rsid w:val="00102C56"/>
    <w:rsid w:val="00110A40"/>
    <w:rsid w:val="00114965"/>
    <w:rsid w:val="00122E90"/>
    <w:rsid w:val="001231E4"/>
    <w:rsid w:val="0012423B"/>
    <w:rsid w:val="00125024"/>
    <w:rsid w:val="00126BAA"/>
    <w:rsid w:val="00132423"/>
    <w:rsid w:val="00132A99"/>
    <w:rsid w:val="00133049"/>
    <w:rsid w:val="00133DA8"/>
    <w:rsid w:val="001369C1"/>
    <w:rsid w:val="00142C30"/>
    <w:rsid w:val="00146B0B"/>
    <w:rsid w:val="00147CFF"/>
    <w:rsid w:val="001504D4"/>
    <w:rsid w:val="00151180"/>
    <w:rsid w:val="00152C3B"/>
    <w:rsid w:val="00154EF9"/>
    <w:rsid w:val="00157C3B"/>
    <w:rsid w:val="0016010F"/>
    <w:rsid w:val="0018052B"/>
    <w:rsid w:val="00180D7D"/>
    <w:rsid w:val="001837A0"/>
    <w:rsid w:val="0018439A"/>
    <w:rsid w:val="001906C8"/>
    <w:rsid w:val="00192524"/>
    <w:rsid w:val="001937AA"/>
    <w:rsid w:val="001A2A8A"/>
    <w:rsid w:val="001A3C2B"/>
    <w:rsid w:val="001A7392"/>
    <w:rsid w:val="001B273E"/>
    <w:rsid w:val="001B3159"/>
    <w:rsid w:val="001B5E95"/>
    <w:rsid w:val="001B7A5A"/>
    <w:rsid w:val="001C04F0"/>
    <w:rsid w:val="001C14B2"/>
    <w:rsid w:val="001C26D2"/>
    <w:rsid w:val="001D0586"/>
    <w:rsid w:val="001D0A9E"/>
    <w:rsid w:val="001D2F3F"/>
    <w:rsid w:val="001D38E6"/>
    <w:rsid w:val="001E6E79"/>
    <w:rsid w:val="001E7D23"/>
    <w:rsid w:val="001F214A"/>
    <w:rsid w:val="001F4946"/>
    <w:rsid w:val="001F4FA2"/>
    <w:rsid w:val="001F5DC6"/>
    <w:rsid w:val="001F5FDA"/>
    <w:rsid w:val="001F6A4A"/>
    <w:rsid w:val="00200013"/>
    <w:rsid w:val="002040D5"/>
    <w:rsid w:val="0020419A"/>
    <w:rsid w:val="00211FB4"/>
    <w:rsid w:val="002133DF"/>
    <w:rsid w:val="0021476D"/>
    <w:rsid w:val="00217DF3"/>
    <w:rsid w:val="002205F6"/>
    <w:rsid w:val="00222E5C"/>
    <w:rsid w:val="00227CAD"/>
    <w:rsid w:val="00240813"/>
    <w:rsid w:val="00242898"/>
    <w:rsid w:val="00242BC6"/>
    <w:rsid w:val="00243004"/>
    <w:rsid w:val="00244244"/>
    <w:rsid w:val="00245ADD"/>
    <w:rsid w:val="00246E2D"/>
    <w:rsid w:val="0025306E"/>
    <w:rsid w:val="00261EC2"/>
    <w:rsid w:val="002669F6"/>
    <w:rsid w:val="0027046F"/>
    <w:rsid w:val="00273D29"/>
    <w:rsid w:val="00275F6E"/>
    <w:rsid w:val="00280F7F"/>
    <w:rsid w:val="0028223E"/>
    <w:rsid w:val="0028330B"/>
    <w:rsid w:val="00284F1B"/>
    <w:rsid w:val="00287407"/>
    <w:rsid w:val="00292E55"/>
    <w:rsid w:val="002A0E48"/>
    <w:rsid w:val="002A3979"/>
    <w:rsid w:val="002A7A04"/>
    <w:rsid w:val="002A7A11"/>
    <w:rsid w:val="002A7B8D"/>
    <w:rsid w:val="002B28E4"/>
    <w:rsid w:val="002B3306"/>
    <w:rsid w:val="002B48D7"/>
    <w:rsid w:val="002B56AE"/>
    <w:rsid w:val="002C587C"/>
    <w:rsid w:val="002C74A0"/>
    <w:rsid w:val="002D47CB"/>
    <w:rsid w:val="002D4D6C"/>
    <w:rsid w:val="002D5F2B"/>
    <w:rsid w:val="002E5B65"/>
    <w:rsid w:val="002E6992"/>
    <w:rsid w:val="002E77A0"/>
    <w:rsid w:val="002F06AA"/>
    <w:rsid w:val="002F29CE"/>
    <w:rsid w:val="002F3FEA"/>
    <w:rsid w:val="002F55A4"/>
    <w:rsid w:val="002F77FF"/>
    <w:rsid w:val="0030134D"/>
    <w:rsid w:val="00305D3E"/>
    <w:rsid w:val="00305E80"/>
    <w:rsid w:val="003065F3"/>
    <w:rsid w:val="00310F8E"/>
    <w:rsid w:val="00314DAA"/>
    <w:rsid w:val="003152B3"/>
    <w:rsid w:val="0031685E"/>
    <w:rsid w:val="003205D3"/>
    <w:rsid w:val="00322292"/>
    <w:rsid w:val="00325F3B"/>
    <w:rsid w:val="00330896"/>
    <w:rsid w:val="00331A20"/>
    <w:rsid w:val="00332250"/>
    <w:rsid w:val="003328C1"/>
    <w:rsid w:val="00332AD2"/>
    <w:rsid w:val="0033342C"/>
    <w:rsid w:val="00340573"/>
    <w:rsid w:val="00343ABC"/>
    <w:rsid w:val="00343CFD"/>
    <w:rsid w:val="00344006"/>
    <w:rsid w:val="00345C3F"/>
    <w:rsid w:val="00346C23"/>
    <w:rsid w:val="00347DC5"/>
    <w:rsid w:val="00350822"/>
    <w:rsid w:val="0035365E"/>
    <w:rsid w:val="00353FA6"/>
    <w:rsid w:val="0035542D"/>
    <w:rsid w:val="00362195"/>
    <w:rsid w:val="003621A3"/>
    <w:rsid w:val="0036328F"/>
    <w:rsid w:val="00367612"/>
    <w:rsid w:val="00367883"/>
    <w:rsid w:val="00375871"/>
    <w:rsid w:val="00377365"/>
    <w:rsid w:val="003818A1"/>
    <w:rsid w:val="003845E1"/>
    <w:rsid w:val="00384A97"/>
    <w:rsid w:val="00384E8C"/>
    <w:rsid w:val="003855B9"/>
    <w:rsid w:val="0038618F"/>
    <w:rsid w:val="00391169"/>
    <w:rsid w:val="003923DA"/>
    <w:rsid w:val="00392806"/>
    <w:rsid w:val="00393BC2"/>
    <w:rsid w:val="0039446B"/>
    <w:rsid w:val="00397637"/>
    <w:rsid w:val="003A4B8D"/>
    <w:rsid w:val="003A629A"/>
    <w:rsid w:val="003A6E2A"/>
    <w:rsid w:val="003B0053"/>
    <w:rsid w:val="003B03D5"/>
    <w:rsid w:val="003B2161"/>
    <w:rsid w:val="003B2315"/>
    <w:rsid w:val="003B2F13"/>
    <w:rsid w:val="003B6963"/>
    <w:rsid w:val="003D26C4"/>
    <w:rsid w:val="003D7724"/>
    <w:rsid w:val="003E471D"/>
    <w:rsid w:val="003E7468"/>
    <w:rsid w:val="003F362D"/>
    <w:rsid w:val="003F4FDA"/>
    <w:rsid w:val="003F5102"/>
    <w:rsid w:val="00404F49"/>
    <w:rsid w:val="00405585"/>
    <w:rsid w:val="00406716"/>
    <w:rsid w:val="004071C3"/>
    <w:rsid w:val="00410263"/>
    <w:rsid w:val="004162C9"/>
    <w:rsid w:val="0041656B"/>
    <w:rsid w:val="004171FF"/>
    <w:rsid w:val="004173EC"/>
    <w:rsid w:val="00421028"/>
    <w:rsid w:val="00425C43"/>
    <w:rsid w:val="0042739C"/>
    <w:rsid w:val="00431929"/>
    <w:rsid w:val="004325B9"/>
    <w:rsid w:val="00437EBE"/>
    <w:rsid w:val="00442CBB"/>
    <w:rsid w:val="00445A2A"/>
    <w:rsid w:val="0044623F"/>
    <w:rsid w:val="00447213"/>
    <w:rsid w:val="00447AC0"/>
    <w:rsid w:val="00452C81"/>
    <w:rsid w:val="00453459"/>
    <w:rsid w:val="004535FF"/>
    <w:rsid w:val="004548A5"/>
    <w:rsid w:val="00455E5C"/>
    <w:rsid w:val="00460329"/>
    <w:rsid w:val="004612B1"/>
    <w:rsid w:val="0046342E"/>
    <w:rsid w:val="004635EE"/>
    <w:rsid w:val="00464E57"/>
    <w:rsid w:val="004656F6"/>
    <w:rsid w:val="00466431"/>
    <w:rsid w:val="00466483"/>
    <w:rsid w:val="00467CEB"/>
    <w:rsid w:val="00470385"/>
    <w:rsid w:val="00471A9C"/>
    <w:rsid w:val="00472BDF"/>
    <w:rsid w:val="004743AE"/>
    <w:rsid w:val="004747FF"/>
    <w:rsid w:val="0047615A"/>
    <w:rsid w:val="00476374"/>
    <w:rsid w:val="004763EE"/>
    <w:rsid w:val="004812DF"/>
    <w:rsid w:val="0048193A"/>
    <w:rsid w:val="00484AB1"/>
    <w:rsid w:val="00484CB3"/>
    <w:rsid w:val="004916B7"/>
    <w:rsid w:val="004959DC"/>
    <w:rsid w:val="004A5B88"/>
    <w:rsid w:val="004A77C9"/>
    <w:rsid w:val="004B0852"/>
    <w:rsid w:val="004B10ED"/>
    <w:rsid w:val="004B146B"/>
    <w:rsid w:val="004B2909"/>
    <w:rsid w:val="004B370A"/>
    <w:rsid w:val="004B43CB"/>
    <w:rsid w:val="004B5033"/>
    <w:rsid w:val="004B531B"/>
    <w:rsid w:val="004C0578"/>
    <w:rsid w:val="004C487A"/>
    <w:rsid w:val="004C6AD7"/>
    <w:rsid w:val="004D04D9"/>
    <w:rsid w:val="004D607F"/>
    <w:rsid w:val="004E2687"/>
    <w:rsid w:val="004E2D0D"/>
    <w:rsid w:val="004E3B21"/>
    <w:rsid w:val="004E5F74"/>
    <w:rsid w:val="004E71BD"/>
    <w:rsid w:val="004E7DCE"/>
    <w:rsid w:val="004F0C46"/>
    <w:rsid w:val="004F2F1A"/>
    <w:rsid w:val="004F3A99"/>
    <w:rsid w:val="004F43F8"/>
    <w:rsid w:val="004F4795"/>
    <w:rsid w:val="004F58C0"/>
    <w:rsid w:val="004F6F33"/>
    <w:rsid w:val="004F7A1E"/>
    <w:rsid w:val="00500C5F"/>
    <w:rsid w:val="00500F85"/>
    <w:rsid w:val="00503302"/>
    <w:rsid w:val="00504B3C"/>
    <w:rsid w:val="005050C4"/>
    <w:rsid w:val="00505B0C"/>
    <w:rsid w:val="00506637"/>
    <w:rsid w:val="00506F09"/>
    <w:rsid w:val="005122A5"/>
    <w:rsid w:val="00512D10"/>
    <w:rsid w:val="00516BFA"/>
    <w:rsid w:val="00516FD5"/>
    <w:rsid w:val="00521BA5"/>
    <w:rsid w:val="0052531A"/>
    <w:rsid w:val="005336D1"/>
    <w:rsid w:val="005338AD"/>
    <w:rsid w:val="00534D37"/>
    <w:rsid w:val="005351A0"/>
    <w:rsid w:val="005442BA"/>
    <w:rsid w:val="005477F6"/>
    <w:rsid w:val="0055279B"/>
    <w:rsid w:val="005612CF"/>
    <w:rsid w:val="00564A31"/>
    <w:rsid w:val="00567F30"/>
    <w:rsid w:val="005732C7"/>
    <w:rsid w:val="00573BFF"/>
    <w:rsid w:val="00576BE5"/>
    <w:rsid w:val="00577360"/>
    <w:rsid w:val="00581D55"/>
    <w:rsid w:val="0058205C"/>
    <w:rsid w:val="00582E8E"/>
    <w:rsid w:val="0058696B"/>
    <w:rsid w:val="005965CC"/>
    <w:rsid w:val="005A32D5"/>
    <w:rsid w:val="005B191E"/>
    <w:rsid w:val="005B2AC3"/>
    <w:rsid w:val="005B6D0C"/>
    <w:rsid w:val="005C0661"/>
    <w:rsid w:val="005C201F"/>
    <w:rsid w:val="005C3A5B"/>
    <w:rsid w:val="005D1E46"/>
    <w:rsid w:val="005D3A70"/>
    <w:rsid w:val="005D482B"/>
    <w:rsid w:val="005E1ED4"/>
    <w:rsid w:val="005E3118"/>
    <w:rsid w:val="005E3A21"/>
    <w:rsid w:val="005E5820"/>
    <w:rsid w:val="005F5BDF"/>
    <w:rsid w:val="005F7438"/>
    <w:rsid w:val="00601046"/>
    <w:rsid w:val="00606405"/>
    <w:rsid w:val="00614C02"/>
    <w:rsid w:val="0062734A"/>
    <w:rsid w:val="006330FA"/>
    <w:rsid w:val="00633C56"/>
    <w:rsid w:val="006365AC"/>
    <w:rsid w:val="0063797D"/>
    <w:rsid w:val="006440D0"/>
    <w:rsid w:val="00645DCC"/>
    <w:rsid w:val="00647C8C"/>
    <w:rsid w:val="006556C9"/>
    <w:rsid w:val="00660632"/>
    <w:rsid w:val="00660A19"/>
    <w:rsid w:val="006642F1"/>
    <w:rsid w:val="006709DE"/>
    <w:rsid w:val="006718EE"/>
    <w:rsid w:val="006724BA"/>
    <w:rsid w:val="00673781"/>
    <w:rsid w:val="0067487D"/>
    <w:rsid w:val="00676DFA"/>
    <w:rsid w:val="006864E7"/>
    <w:rsid w:val="0068741B"/>
    <w:rsid w:val="00687A70"/>
    <w:rsid w:val="00690BC3"/>
    <w:rsid w:val="00694903"/>
    <w:rsid w:val="0069538F"/>
    <w:rsid w:val="006962B3"/>
    <w:rsid w:val="006975CF"/>
    <w:rsid w:val="00697BFC"/>
    <w:rsid w:val="006A454D"/>
    <w:rsid w:val="006A65D5"/>
    <w:rsid w:val="006B03CF"/>
    <w:rsid w:val="006B7D62"/>
    <w:rsid w:val="006C0BF4"/>
    <w:rsid w:val="006C3ECD"/>
    <w:rsid w:val="006C7103"/>
    <w:rsid w:val="006D061F"/>
    <w:rsid w:val="006D3771"/>
    <w:rsid w:val="006D5A36"/>
    <w:rsid w:val="006E35F0"/>
    <w:rsid w:val="006E3681"/>
    <w:rsid w:val="006F3DD5"/>
    <w:rsid w:val="006F413F"/>
    <w:rsid w:val="006F5179"/>
    <w:rsid w:val="00700742"/>
    <w:rsid w:val="00701E48"/>
    <w:rsid w:val="00701FDB"/>
    <w:rsid w:val="007038D5"/>
    <w:rsid w:val="007110F9"/>
    <w:rsid w:val="0071491A"/>
    <w:rsid w:val="00717997"/>
    <w:rsid w:val="00721B7B"/>
    <w:rsid w:val="0072224B"/>
    <w:rsid w:val="0072246D"/>
    <w:rsid w:val="0072514B"/>
    <w:rsid w:val="00726444"/>
    <w:rsid w:val="00727B0B"/>
    <w:rsid w:val="007300C9"/>
    <w:rsid w:val="007314CA"/>
    <w:rsid w:val="0073182F"/>
    <w:rsid w:val="0073281A"/>
    <w:rsid w:val="00734D93"/>
    <w:rsid w:val="007449BC"/>
    <w:rsid w:val="00750B4D"/>
    <w:rsid w:val="0075579A"/>
    <w:rsid w:val="00756218"/>
    <w:rsid w:val="00760AC1"/>
    <w:rsid w:val="00760FE2"/>
    <w:rsid w:val="007616B7"/>
    <w:rsid w:val="007623A5"/>
    <w:rsid w:val="00762C77"/>
    <w:rsid w:val="00765C00"/>
    <w:rsid w:val="00770A16"/>
    <w:rsid w:val="00772D28"/>
    <w:rsid w:val="007732FD"/>
    <w:rsid w:val="00775508"/>
    <w:rsid w:val="00775618"/>
    <w:rsid w:val="0078122F"/>
    <w:rsid w:val="00783EC0"/>
    <w:rsid w:val="00787AF5"/>
    <w:rsid w:val="0079223A"/>
    <w:rsid w:val="007A110D"/>
    <w:rsid w:val="007A26B3"/>
    <w:rsid w:val="007A2896"/>
    <w:rsid w:val="007A4558"/>
    <w:rsid w:val="007A5259"/>
    <w:rsid w:val="007B049E"/>
    <w:rsid w:val="007B1690"/>
    <w:rsid w:val="007B24A9"/>
    <w:rsid w:val="007B29E8"/>
    <w:rsid w:val="007B2A57"/>
    <w:rsid w:val="007B6D14"/>
    <w:rsid w:val="007D48CA"/>
    <w:rsid w:val="007D7400"/>
    <w:rsid w:val="007E00E9"/>
    <w:rsid w:val="007E1CEB"/>
    <w:rsid w:val="007F0FB8"/>
    <w:rsid w:val="007F2C7A"/>
    <w:rsid w:val="00801E7E"/>
    <w:rsid w:val="00802567"/>
    <w:rsid w:val="0080483A"/>
    <w:rsid w:val="00805690"/>
    <w:rsid w:val="00812641"/>
    <w:rsid w:val="008127D6"/>
    <w:rsid w:val="008161C4"/>
    <w:rsid w:val="00817752"/>
    <w:rsid w:val="00817947"/>
    <w:rsid w:val="00817FF8"/>
    <w:rsid w:val="00822644"/>
    <w:rsid w:val="00832454"/>
    <w:rsid w:val="00832D7F"/>
    <w:rsid w:val="008371FE"/>
    <w:rsid w:val="008377AE"/>
    <w:rsid w:val="00840993"/>
    <w:rsid w:val="00841227"/>
    <w:rsid w:val="008518F4"/>
    <w:rsid w:val="00851B15"/>
    <w:rsid w:val="0085233C"/>
    <w:rsid w:val="00855E29"/>
    <w:rsid w:val="0086441A"/>
    <w:rsid w:val="00864755"/>
    <w:rsid w:val="0086682A"/>
    <w:rsid w:val="00872D14"/>
    <w:rsid w:val="00874AAC"/>
    <w:rsid w:val="00874B5F"/>
    <w:rsid w:val="00877251"/>
    <w:rsid w:val="00877345"/>
    <w:rsid w:val="00877D48"/>
    <w:rsid w:val="0088006C"/>
    <w:rsid w:val="00891DFD"/>
    <w:rsid w:val="00892247"/>
    <w:rsid w:val="008950DA"/>
    <w:rsid w:val="008A37C4"/>
    <w:rsid w:val="008A69EB"/>
    <w:rsid w:val="008A78CF"/>
    <w:rsid w:val="008A796D"/>
    <w:rsid w:val="008A7C3C"/>
    <w:rsid w:val="008B18AE"/>
    <w:rsid w:val="008B55BC"/>
    <w:rsid w:val="008C34A8"/>
    <w:rsid w:val="008C61BE"/>
    <w:rsid w:val="008C66B0"/>
    <w:rsid w:val="008D18B2"/>
    <w:rsid w:val="008D3A44"/>
    <w:rsid w:val="008D4ED5"/>
    <w:rsid w:val="008D5435"/>
    <w:rsid w:val="008D7224"/>
    <w:rsid w:val="008D762A"/>
    <w:rsid w:val="008E1C87"/>
    <w:rsid w:val="008E7257"/>
    <w:rsid w:val="008E774C"/>
    <w:rsid w:val="008F1C1A"/>
    <w:rsid w:val="008F3CA4"/>
    <w:rsid w:val="008F4A3E"/>
    <w:rsid w:val="008F5357"/>
    <w:rsid w:val="00900875"/>
    <w:rsid w:val="00902E9C"/>
    <w:rsid w:val="0090366A"/>
    <w:rsid w:val="00903A88"/>
    <w:rsid w:val="00916BB4"/>
    <w:rsid w:val="00920174"/>
    <w:rsid w:val="00920498"/>
    <w:rsid w:val="0092232B"/>
    <w:rsid w:val="00923146"/>
    <w:rsid w:val="009243D9"/>
    <w:rsid w:val="0093548E"/>
    <w:rsid w:val="0093574A"/>
    <w:rsid w:val="00937198"/>
    <w:rsid w:val="00941655"/>
    <w:rsid w:val="0094170A"/>
    <w:rsid w:val="009425CF"/>
    <w:rsid w:val="0095073D"/>
    <w:rsid w:val="00950CD7"/>
    <w:rsid w:val="00954D6A"/>
    <w:rsid w:val="00954E07"/>
    <w:rsid w:val="00957FDE"/>
    <w:rsid w:val="00960072"/>
    <w:rsid w:val="00961D69"/>
    <w:rsid w:val="0096291B"/>
    <w:rsid w:val="00966AAF"/>
    <w:rsid w:val="00966F75"/>
    <w:rsid w:val="00970FA8"/>
    <w:rsid w:val="00973AB4"/>
    <w:rsid w:val="00982C43"/>
    <w:rsid w:val="009837F5"/>
    <w:rsid w:val="00986901"/>
    <w:rsid w:val="00986992"/>
    <w:rsid w:val="00990ED6"/>
    <w:rsid w:val="00990FA6"/>
    <w:rsid w:val="0099241C"/>
    <w:rsid w:val="009924B1"/>
    <w:rsid w:val="009939AA"/>
    <w:rsid w:val="00994ECB"/>
    <w:rsid w:val="00996F58"/>
    <w:rsid w:val="009A0157"/>
    <w:rsid w:val="009A2FAE"/>
    <w:rsid w:val="009A4477"/>
    <w:rsid w:val="009A4618"/>
    <w:rsid w:val="009A663C"/>
    <w:rsid w:val="009B0293"/>
    <w:rsid w:val="009B1AB3"/>
    <w:rsid w:val="009B66D1"/>
    <w:rsid w:val="009C033B"/>
    <w:rsid w:val="009D081A"/>
    <w:rsid w:val="009D0CBC"/>
    <w:rsid w:val="009E1651"/>
    <w:rsid w:val="009E4436"/>
    <w:rsid w:val="009F3AF5"/>
    <w:rsid w:val="009F3B6D"/>
    <w:rsid w:val="009F4A30"/>
    <w:rsid w:val="009F68E7"/>
    <w:rsid w:val="009F7D27"/>
    <w:rsid w:val="00A04141"/>
    <w:rsid w:val="00A07B07"/>
    <w:rsid w:val="00A07C38"/>
    <w:rsid w:val="00A11181"/>
    <w:rsid w:val="00A12533"/>
    <w:rsid w:val="00A13758"/>
    <w:rsid w:val="00A16588"/>
    <w:rsid w:val="00A16A9C"/>
    <w:rsid w:val="00A21327"/>
    <w:rsid w:val="00A24039"/>
    <w:rsid w:val="00A258FA"/>
    <w:rsid w:val="00A27501"/>
    <w:rsid w:val="00A30498"/>
    <w:rsid w:val="00A306C6"/>
    <w:rsid w:val="00A3190F"/>
    <w:rsid w:val="00A34D89"/>
    <w:rsid w:val="00A3517D"/>
    <w:rsid w:val="00A35AD6"/>
    <w:rsid w:val="00A37221"/>
    <w:rsid w:val="00A41BA5"/>
    <w:rsid w:val="00A478E1"/>
    <w:rsid w:val="00A50AF4"/>
    <w:rsid w:val="00A52E74"/>
    <w:rsid w:val="00A55F1C"/>
    <w:rsid w:val="00A5680C"/>
    <w:rsid w:val="00A56A41"/>
    <w:rsid w:val="00A572AE"/>
    <w:rsid w:val="00A64242"/>
    <w:rsid w:val="00A717DE"/>
    <w:rsid w:val="00A725A1"/>
    <w:rsid w:val="00A72CA8"/>
    <w:rsid w:val="00A83F3B"/>
    <w:rsid w:val="00A91909"/>
    <w:rsid w:val="00A923BC"/>
    <w:rsid w:val="00A94E17"/>
    <w:rsid w:val="00A94FEA"/>
    <w:rsid w:val="00A95254"/>
    <w:rsid w:val="00AA0C8E"/>
    <w:rsid w:val="00AA12A2"/>
    <w:rsid w:val="00AA3F23"/>
    <w:rsid w:val="00AA4EE4"/>
    <w:rsid w:val="00AB0A0E"/>
    <w:rsid w:val="00AB425F"/>
    <w:rsid w:val="00AB4B48"/>
    <w:rsid w:val="00AB50EF"/>
    <w:rsid w:val="00AB512B"/>
    <w:rsid w:val="00AB59A2"/>
    <w:rsid w:val="00AB5D8F"/>
    <w:rsid w:val="00AC332F"/>
    <w:rsid w:val="00AD4A5C"/>
    <w:rsid w:val="00AD6BF0"/>
    <w:rsid w:val="00AE64E4"/>
    <w:rsid w:val="00AF1ED2"/>
    <w:rsid w:val="00AF4F9E"/>
    <w:rsid w:val="00AF6A65"/>
    <w:rsid w:val="00B045EC"/>
    <w:rsid w:val="00B04A89"/>
    <w:rsid w:val="00B04ABE"/>
    <w:rsid w:val="00B0586C"/>
    <w:rsid w:val="00B07BD7"/>
    <w:rsid w:val="00B1070F"/>
    <w:rsid w:val="00B16A9F"/>
    <w:rsid w:val="00B2191A"/>
    <w:rsid w:val="00B32BED"/>
    <w:rsid w:val="00B331B5"/>
    <w:rsid w:val="00B33D64"/>
    <w:rsid w:val="00B367AE"/>
    <w:rsid w:val="00B43BCA"/>
    <w:rsid w:val="00B4544C"/>
    <w:rsid w:val="00B4572C"/>
    <w:rsid w:val="00B50F49"/>
    <w:rsid w:val="00B51568"/>
    <w:rsid w:val="00B55792"/>
    <w:rsid w:val="00B570BA"/>
    <w:rsid w:val="00B6052E"/>
    <w:rsid w:val="00B611B0"/>
    <w:rsid w:val="00B62937"/>
    <w:rsid w:val="00B64220"/>
    <w:rsid w:val="00B70748"/>
    <w:rsid w:val="00B724C9"/>
    <w:rsid w:val="00B7396E"/>
    <w:rsid w:val="00B74572"/>
    <w:rsid w:val="00B864BF"/>
    <w:rsid w:val="00B87259"/>
    <w:rsid w:val="00B87CDB"/>
    <w:rsid w:val="00B92114"/>
    <w:rsid w:val="00B9447D"/>
    <w:rsid w:val="00B96CD9"/>
    <w:rsid w:val="00BA1E34"/>
    <w:rsid w:val="00BA243B"/>
    <w:rsid w:val="00BA30E7"/>
    <w:rsid w:val="00BA62BA"/>
    <w:rsid w:val="00BB2EF3"/>
    <w:rsid w:val="00BC0D5C"/>
    <w:rsid w:val="00BC1644"/>
    <w:rsid w:val="00BC59E0"/>
    <w:rsid w:val="00BC780B"/>
    <w:rsid w:val="00BC7C5A"/>
    <w:rsid w:val="00BD1022"/>
    <w:rsid w:val="00BD24CB"/>
    <w:rsid w:val="00BD2AB7"/>
    <w:rsid w:val="00BD30A1"/>
    <w:rsid w:val="00BD395E"/>
    <w:rsid w:val="00BD462B"/>
    <w:rsid w:val="00BD5957"/>
    <w:rsid w:val="00BE0EBE"/>
    <w:rsid w:val="00BE3253"/>
    <w:rsid w:val="00BE4466"/>
    <w:rsid w:val="00BE4822"/>
    <w:rsid w:val="00BE4B5B"/>
    <w:rsid w:val="00BE51CC"/>
    <w:rsid w:val="00BE5AC4"/>
    <w:rsid w:val="00BF1797"/>
    <w:rsid w:val="00BF2112"/>
    <w:rsid w:val="00BF273A"/>
    <w:rsid w:val="00BF2C42"/>
    <w:rsid w:val="00BF49DD"/>
    <w:rsid w:val="00BF49FC"/>
    <w:rsid w:val="00BF4A6D"/>
    <w:rsid w:val="00BF7601"/>
    <w:rsid w:val="00C023D4"/>
    <w:rsid w:val="00C02401"/>
    <w:rsid w:val="00C0490F"/>
    <w:rsid w:val="00C05DDE"/>
    <w:rsid w:val="00C11E0A"/>
    <w:rsid w:val="00C13BA4"/>
    <w:rsid w:val="00C14CB0"/>
    <w:rsid w:val="00C167F4"/>
    <w:rsid w:val="00C17BB1"/>
    <w:rsid w:val="00C21886"/>
    <w:rsid w:val="00C24A39"/>
    <w:rsid w:val="00C24F25"/>
    <w:rsid w:val="00C25272"/>
    <w:rsid w:val="00C273AA"/>
    <w:rsid w:val="00C307E7"/>
    <w:rsid w:val="00C31544"/>
    <w:rsid w:val="00C31853"/>
    <w:rsid w:val="00C33F43"/>
    <w:rsid w:val="00C34F63"/>
    <w:rsid w:val="00C357D1"/>
    <w:rsid w:val="00C40670"/>
    <w:rsid w:val="00C40B7D"/>
    <w:rsid w:val="00C415BA"/>
    <w:rsid w:val="00C419EF"/>
    <w:rsid w:val="00C45CCB"/>
    <w:rsid w:val="00C46F34"/>
    <w:rsid w:val="00C60F23"/>
    <w:rsid w:val="00C634E8"/>
    <w:rsid w:val="00C63F65"/>
    <w:rsid w:val="00C65182"/>
    <w:rsid w:val="00C659C2"/>
    <w:rsid w:val="00C74752"/>
    <w:rsid w:val="00C74C8E"/>
    <w:rsid w:val="00C75C19"/>
    <w:rsid w:val="00C84477"/>
    <w:rsid w:val="00C8790C"/>
    <w:rsid w:val="00C912E6"/>
    <w:rsid w:val="00C9240F"/>
    <w:rsid w:val="00C92DDB"/>
    <w:rsid w:val="00C96684"/>
    <w:rsid w:val="00CA064C"/>
    <w:rsid w:val="00CA6457"/>
    <w:rsid w:val="00CA6880"/>
    <w:rsid w:val="00CB3B47"/>
    <w:rsid w:val="00CB58D1"/>
    <w:rsid w:val="00CC15FE"/>
    <w:rsid w:val="00CC1FCE"/>
    <w:rsid w:val="00CC4156"/>
    <w:rsid w:val="00CC7CF0"/>
    <w:rsid w:val="00CD075D"/>
    <w:rsid w:val="00CD6E36"/>
    <w:rsid w:val="00CD71B4"/>
    <w:rsid w:val="00CD72F1"/>
    <w:rsid w:val="00CE4EF7"/>
    <w:rsid w:val="00CF0A0F"/>
    <w:rsid w:val="00CF124F"/>
    <w:rsid w:val="00CF1605"/>
    <w:rsid w:val="00CF1B07"/>
    <w:rsid w:val="00CF1B25"/>
    <w:rsid w:val="00CF1FA4"/>
    <w:rsid w:val="00CF2C69"/>
    <w:rsid w:val="00CF4DB6"/>
    <w:rsid w:val="00CF7FA2"/>
    <w:rsid w:val="00D0080A"/>
    <w:rsid w:val="00D104B9"/>
    <w:rsid w:val="00D140E5"/>
    <w:rsid w:val="00D14AA4"/>
    <w:rsid w:val="00D156FC"/>
    <w:rsid w:val="00D24DB0"/>
    <w:rsid w:val="00D34598"/>
    <w:rsid w:val="00D3492B"/>
    <w:rsid w:val="00D37024"/>
    <w:rsid w:val="00D37112"/>
    <w:rsid w:val="00D40D0D"/>
    <w:rsid w:val="00D4150C"/>
    <w:rsid w:val="00D428F8"/>
    <w:rsid w:val="00D44942"/>
    <w:rsid w:val="00D44CE3"/>
    <w:rsid w:val="00D45369"/>
    <w:rsid w:val="00D45B82"/>
    <w:rsid w:val="00D479F6"/>
    <w:rsid w:val="00D50EF3"/>
    <w:rsid w:val="00D518F1"/>
    <w:rsid w:val="00D55E81"/>
    <w:rsid w:val="00D56C67"/>
    <w:rsid w:val="00D6046E"/>
    <w:rsid w:val="00D60F47"/>
    <w:rsid w:val="00D64542"/>
    <w:rsid w:val="00D71F24"/>
    <w:rsid w:val="00D71FC6"/>
    <w:rsid w:val="00D73841"/>
    <w:rsid w:val="00D7721B"/>
    <w:rsid w:val="00D77B38"/>
    <w:rsid w:val="00D80C8A"/>
    <w:rsid w:val="00D80F77"/>
    <w:rsid w:val="00D81D73"/>
    <w:rsid w:val="00D82BB0"/>
    <w:rsid w:val="00D83553"/>
    <w:rsid w:val="00D9267F"/>
    <w:rsid w:val="00D96413"/>
    <w:rsid w:val="00D96B9A"/>
    <w:rsid w:val="00D97777"/>
    <w:rsid w:val="00DA074C"/>
    <w:rsid w:val="00DA1428"/>
    <w:rsid w:val="00DA2629"/>
    <w:rsid w:val="00DA3ADB"/>
    <w:rsid w:val="00DA4C48"/>
    <w:rsid w:val="00DA57D2"/>
    <w:rsid w:val="00DA5EF1"/>
    <w:rsid w:val="00DA6B5C"/>
    <w:rsid w:val="00DB05C5"/>
    <w:rsid w:val="00DB5FFA"/>
    <w:rsid w:val="00DB66F3"/>
    <w:rsid w:val="00DB6D2C"/>
    <w:rsid w:val="00DC0AE3"/>
    <w:rsid w:val="00DC4328"/>
    <w:rsid w:val="00DC4764"/>
    <w:rsid w:val="00DC7102"/>
    <w:rsid w:val="00DD22C3"/>
    <w:rsid w:val="00DD44F6"/>
    <w:rsid w:val="00DE4D6C"/>
    <w:rsid w:val="00DE7226"/>
    <w:rsid w:val="00DF0BBD"/>
    <w:rsid w:val="00DF23B0"/>
    <w:rsid w:val="00DF2CA8"/>
    <w:rsid w:val="00DF6518"/>
    <w:rsid w:val="00DF7F46"/>
    <w:rsid w:val="00E01926"/>
    <w:rsid w:val="00E01D8D"/>
    <w:rsid w:val="00E03A8B"/>
    <w:rsid w:val="00E0431F"/>
    <w:rsid w:val="00E13D47"/>
    <w:rsid w:val="00E15A09"/>
    <w:rsid w:val="00E17FD0"/>
    <w:rsid w:val="00E20B2B"/>
    <w:rsid w:val="00E346BD"/>
    <w:rsid w:val="00E364E0"/>
    <w:rsid w:val="00E37B05"/>
    <w:rsid w:val="00E41CC0"/>
    <w:rsid w:val="00E528F5"/>
    <w:rsid w:val="00E61AE3"/>
    <w:rsid w:val="00E63A17"/>
    <w:rsid w:val="00E645EF"/>
    <w:rsid w:val="00E67195"/>
    <w:rsid w:val="00E725D4"/>
    <w:rsid w:val="00E72940"/>
    <w:rsid w:val="00E72B94"/>
    <w:rsid w:val="00E737F7"/>
    <w:rsid w:val="00E76799"/>
    <w:rsid w:val="00E76DFF"/>
    <w:rsid w:val="00E84393"/>
    <w:rsid w:val="00E910C7"/>
    <w:rsid w:val="00E93018"/>
    <w:rsid w:val="00E9307D"/>
    <w:rsid w:val="00E93CE8"/>
    <w:rsid w:val="00E973F2"/>
    <w:rsid w:val="00EA2E5C"/>
    <w:rsid w:val="00EA3192"/>
    <w:rsid w:val="00EA4561"/>
    <w:rsid w:val="00EA4C3C"/>
    <w:rsid w:val="00EA57BB"/>
    <w:rsid w:val="00EA5886"/>
    <w:rsid w:val="00EA68C6"/>
    <w:rsid w:val="00EA6D96"/>
    <w:rsid w:val="00EA7789"/>
    <w:rsid w:val="00EA79CF"/>
    <w:rsid w:val="00EB0005"/>
    <w:rsid w:val="00EB0EEE"/>
    <w:rsid w:val="00EB1767"/>
    <w:rsid w:val="00EC12FD"/>
    <w:rsid w:val="00EC1569"/>
    <w:rsid w:val="00EC4886"/>
    <w:rsid w:val="00EC59F9"/>
    <w:rsid w:val="00EC62E6"/>
    <w:rsid w:val="00EC7019"/>
    <w:rsid w:val="00ED02EF"/>
    <w:rsid w:val="00ED104D"/>
    <w:rsid w:val="00ED290D"/>
    <w:rsid w:val="00ED357E"/>
    <w:rsid w:val="00ED3E78"/>
    <w:rsid w:val="00ED6B24"/>
    <w:rsid w:val="00ED7976"/>
    <w:rsid w:val="00EE03D3"/>
    <w:rsid w:val="00EE19D1"/>
    <w:rsid w:val="00EE2116"/>
    <w:rsid w:val="00EE4001"/>
    <w:rsid w:val="00EE5F67"/>
    <w:rsid w:val="00EE720F"/>
    <w:rsid w:val="00EF1D79"/>
    <w:rsid w:val="00EF248B"/>
    <w:rsid w:val="00EF6758"/>
    <w:rsid w:val="00F00EE1"/>
    <w:rsid w:val="00F01611"/>
    <w:rsid w:val="00F034E7"/>
    <w:rsid w:val="00F036D1"/>
    <w:rsid w:val="00F05199"/>
    <w:rsid w:val="00F0726E"/>
    <w:rsid w:val="00F11D24"/>
    <w:rsid w:val="00F16598"/>
    <w:rsid w:val="00F205DD"/>
    <w:rsid w:val="00F221EB"/>
    <w:rsid w:val="00F23070"/>
    <w:rsid w:val="00F309F1"/>
    <w:rsid w:val="00F30F24"/>
    <w:rsid w:val="00F31A0D"/>
    <w:rsid w:val="00F320A1"/>
    <w:rsid w:val="00F52E52"/>
    <w:rsid w:val="00F5706D"/>
    <w:rsid w:val="00F62188"/>
    <w:rsid w:val="00F64416"/>
    <w:rsid w:val="00F64C25"/>
    <w:rsid w:val="00F6601F"/>
    <w:rsid w:val="00F662CA"/>
    <w:rsid w:val="00F70260"/>
    <w:rsid w:val="00F72720"/>
    <w:rsid w:val="00F80AB4"/>
    <w:rsid w:val="00F82F99"/>
    <w:rsid w:val="00F85A20"/>
    <w:rsid w:val="00F8758B"/>
    <w:rsid w:val="00F90562"/>
    <w:rsid w:val="00F91323"/>
    <w:rsid w:val="00F91755"/>
    <w:rsid w:val="00F943DF"/>
    <w:rsid w:val="00F946D0"/>
    <w:rsid w:val="00FA00DB"/>
    <w:rsid w:val="00FA3A01"/>
    <w:rsid w:val="00FA6305"/>
    <w:rsid w:val="00FB0BB7"/>
    <w:rsid w:val="00FB254D"/>
    <w:rsid w:val="00FB2F0F"/>
    <w:rsid w:val="00FB3A21"/>
    <w:rsid w:val="00FB52CA"/>
    <w:rsid w:val="00FC39D7"/>
    <w:rsid w:val="00FC3EAE"/>
    <w:rsid w:val="00FE15E5"/>
    <w:rsid w:val="00FE3CD8"/>
    <w:rsid w:val="00FE7CAD"/>
    <w:rsid w:val="00FF1823"/>
    <w:rsid w:val="00FF24C9"/>
    <w:rsid w:val="00FF3A6B"/>
    <w:rsid w:val="00FF3B7E"/>
    <w:rsid w:val="00FF57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o:colormru v:ext="edit" colors="#07657b"/>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3D9"/>
    <w:pPr>
      <w:overflowPunct w:val="0"/>
      <w:autoSpaceDE w:val="0"/>
      <w:autoSpaceDN w:val="0"/>
      <w:adjustRightInd w:val="0"/>
      <w:spacing w:after="280" w:line="280" w:lineRule="exact"/>
      <w:textAlignment w:val="baseline"/>
    </w:pPr>
    <w:rPr>
      <w:rFonts w:ascii="Arial" w:hAnsi="Arial"/>
    </w:rPr>
  </w:style>
  <w:style w:type="paragraph" w:styleId="Heading1">
    <w:name w:val="heading 1"/>
    <w:basedOn w:val="Normal"/>
    <w:next w:val="Normal"/>
    <w:qFormat/>
    <w:rsid w:val="0092232B"/>
    <w:pPr>
      <w:keepNext/>
      <w:keepLines/>
      <w:spacing w:line="280" w:lineRule="atLeast"/>
      <w:outlineLvl w:val="0"/>
    </w:pPr>
    <w:rPr>
      <w:rFonts w:cs="Arial"/>
      <w:b/>
      <w:bCs/>
      <w:kern w:val="28"/>
      <w:szCs w:val="32"/>
    </w:rPr>
  </w:style>
  <w:style w:type="paragraph" w:styleId="Heading2">
    <w:name w:val="heading 2"/>
    <w:basedOn w:val="Heading1"/>
    <w:next w:val="Normal"/>
    <w:qFormat/>
    <w:rsid w:val="0092232B"/>
    <w:pPr>
      <w:outlineLvl w:val="1"/>
    </w:pPr>
    <w:rPr>
      <w:b w:val="0"/>
      <w:bCs w:val="0"/>
      <w:iCs/>
      <w:sz w:val="18"/>
      <w:szCs w:val="28"/>
    </w:rPr>
  </w:style>
  <w:style w:type="paragraph" w:styleId="Heading3">
    <w:name w:val="heading 3"/>
    <w:basedOn w:val="Normal"/>
    <w:next w:val="Normal"/>
    <w:qFormat/>
    <w:rsid w:val="0092232B"/>
    <w:pPr>
      <w:keepNext/>
      <w:spacing w:line="280" w:lineRule="atLeast"/>
      <w:outlineLvl w:val="2"/>
    </w:pPr>
    <w:rPr>
      <w:rFonts w:cs="Arial"/>
      <w:bCs/>
      <w:sz w:val="18"/>
      <w:szCs w:val="26"/>
    </w:rPr>
  </w:style>
  <w:style w:type="paragraph" w:styleId="Heading4">
    <w:name w:val="heading 4"/>
    <w:basedOn w:val="Normal"/>
    <w:next w:val="Normal"/>
    <w:qFormat/>
    <w:rsid w:val="0092232B"/>
    <w:pPr>
      <w:keepNext/>
      <w:spacing w:after="240" w:line="280" w:lineRule="atLeast"/>
      <w:outlineLvl w:val="3"/>
    </w:pPr>
    <w:rPr>
      <w:bCs/>
      <w:i/>
      <w:sz w:val="18"/>
      <w:szCs w:val="28"/>
    </w:rPr>
  </w:style>
  <w:style w:type="paragraph" w:styleId="Heading5">
    <w:name w:val="heading 5"/>
    <w:basedOn w:val="Normal"/>
    <w:next w:val="Normal"/>
    <w:qFormat/>
    <w:rsid w:val="0092232B"/>
    <w:pPr>
      <w:spacing w:before="240" w:after="60"/>
      <w:outlineLvl w:val="4"/>
    </w:pPr>
    <w:rPr>
      <w:bCs/>
      <w:iCs/>
      <w:sz w:val="18"/>
      <w:szCs w:val="26"/>
    </w:rPr>
  </w:style>
  <w:style w:type="paragraph" w:styleId="Heading6">
    <w:name w:val="heading 6"/>
    <w:basedOn w:val="Normal"/>
    <w:next w:val="Normal"/>
    <w:qFormat/>
    <w:rsid w:val="0092232B"/>
    <w:pPr>
      <w:spacing w:before="240" w:after="60"/>
      <w:outlineLvl w:val="5"/>
    </w:pPr>
    <w:rPr>
      <w:bCs/>
      <w:i/>
      <w:sz w:val="18"/>
      <w:szCs w:val="22"/>
    </w:rPr>
  </w:style>
  <w:style w:type="paragraph" w:styleId="Heading7">
    <w:name w:val="heading 7"/>
    <w:basedOn w:val="Normal"/>
    <w:next w:val="Normal"/>
    <w:qFormat/>
    <w:rsid w:val="0092232B"/>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2232B"/>
    <w:pPr>
      <w:tabs>
        <w:tab w:val="center" w:pos="4536"/>
        <w:tab w:val="right" w:pos="9072"/>
      </w:tabs>
    </w:pPr>
  </w:style>
  <w:style w:type="paragraph" w:styleId="Footer">
    <w:name w:val="footer"/>
    <w:basedOn w:val="Normal"/>
    <w:link w:val="FooterChar"/>
    <w:uiPriority w:val="99"/>
    <w:rsid w:val="0092232B"/>
    <w:pPr>
      <w:tabs>
        <w:tab w:val="left" w:pos="8165"/>
      </w:tabs>
    </w:pPr>
    <w:rPr>
      <w:sz w:val="10"/>
    </w:rPr>
  </w:style>
  <w:style w:type="character" w:styleId="PageNumber">
    <w:name w:val="page number"/>
    <w:basedOn w:val="DefaultParagraphFont"/>
    <w:rsid w:val="0092232B"/>
  </w:style>
  <w:style w:type="paragraph" w:styleId="ListBullet">
    <w:name w:val="List Bullet"/>
    <w:basedOn w:val="Normal"/>
    <w:rsid w:val="009243D9"/>
    <w:pPr>
      <w:numPr>
        <w:numId w:val="12"/>
      </w:numPr>
      <w:spacing w:line="280" w:lineRule="atLeast"/>
    </w:pPr>
    <w:rPr>
      <w:spacing w:val="-2"/>
    </w:rPr>
  </w:style>
  <w:style w:type="paragraph" w:customStyle="1" w:styleId="TableHeading">
    <w:name w:val="Table Heading"/>
    <w:basedOn w:val="Normal"/>
    <w:rsid w:val="0092232B"/>
    <w:pPr>
      <w:keepNext/>
      <w:spacing w:before="60" w:after="60" w:line="240" w:lineRule="auto"/>
    </w:pPr>
    <w:rPr>
      <w:b/>
      <w:spacing w:val="-3"/>
      <w:sz w:val="18"/>
    </w:rPr>
  </w:style>
  <w:style w:type="paragraph" w:customStyle="1" w:styleId="TableText">
    <w:name w:val="Table Text"/>
    <w:basedOn w:val="Normal"/>
    <w:rsid w:val="0092232B"/>
    <w:pPr>
      <w:spacing w:before="60" w:after="60" w:line="240" w:lineRule="auto"/>
    </w:pPr>
    <w:rPr>
      <w:spacing w:val="-3"/>
      <w:sz w:val="18"/>
    </w:rPr>
  </w:style>
  <w:style w:type="paragraph" w:customStyle="1" w:styleId="Confidentialitystatement">
    <w:name w:val="Confidentiality statement"/>
    <w:basedOn w:val="Normal"/>
    <w:rsid w:val="0092232B"/>
    <w:pPr>
      <w:framePr w:w="7533" w:hSpace="187" w:vSpace="187" w:wrap="around" w:vAnchor="page" w:hAnchor="margin" w:y="1873"/>
    </w:pPr>
    <w:rPr>
      <w:i/>
      <w:noProof/>
      <w:spacing w:val="-2"/>
      <w:sz w:val="16"/>
    </w:rPr>
  </w:style>
  <w:style w:type="paragraph" w:styleId="BodyText2">
    <w:name w:val="Body Text 2"/>
    <w:basedOn w:val="Normal"/>
    <w:rsid w:val="001F6A4A"/>
    <w:pPr>
      <w:pBdr>
        <w:top w:val="single" w:sz="12" w:space="4" w:color="007EA2"/>
        <w:bottom w:val="single" w:sz="12" w:space="4" w:color="007EA2"/>
      </w:pBdr>
      <w:shd w:val="solid" w:color="E6E6E6" w:fill="auto"/>
      <w:overflowPunct/>
      <w:autoSpaceDE/>
      <w:autoSpaceDN/>
      <w:adjustRightInd/>
      <w:textAlignment w:val="auto"/>
    </w:pPr>
    <w:rPr>
      <w:b/>
      <w:bCs/>
      <w:spacing w:val="-2"/>
      <w:sz w:val="18"/>
    </w:rPr>
  </w:style>
  <w:style w:type="paragraph" w:customStyle="1" w:styleId="Footer-Confidentiality">
    <w:name w:val="Footer-Confidentiality"/>
    <w:basedOn w:val="Footer"/>
    <w:autoRedefine/>
    <w:rsid w:val="0092232B"/>
    <w:pPr>
      <w:tabs>
        <w:tab w:val="right" w:pos="10206"/>
      </w:tabs>
      <w:spacing w:line="200" w:lineRule="exact"/>
    </w:pPr>
    <w:rPr>
      <w:i/>
      <w:spacing w:val="-2"/>
      <w:sz w:val="16"/>
    </w:rPr>
  </w:style>
  <w:style w:type="paragraph" w:customStyle="1" w:styleId="Footer-Pathname">
    <w:name w:val="Footer-Pathname"/>
    <w:basedOn w:val="Footer"/>
    <w:autoRedefine/>
    <w:rsid w:val="00F01611"/>
    <w:pPr>
      <w:tabs>
        <w:tab w:val="right" w:pos="10206"/>
      </w:tabs>
      <w:spacing w:after="0" w:line="240" w:lineRule="auto"/>
    </w:pPr>
    <w:rPr>
      <w:rFonts w:ascii="Arial Narrow" w:hAnsi="Arial Narrow"/>
      <w:noProof/>
      <w:spacing w:val="-2"/>
      <w:sz w:val="12"/>
      <w:szCs w:val="12"/>
      <w:lang w:val="pt-BR"/>
    </w:rPr>
  </w:style>
  <w:style w:type="paragraph" w:customStyle="1" w:styleId="Headline">
    <w:name w:val="Headline"/>
    <w:rsid w:val="0092232B"/>
    <w:pPr>
      <w:framePr w:w="2155" w:h="851" w:hRule="exact" w:hSpace="181" w:vSpace="181" w:wrap="around" w:vAnchor="page" w:hAnchor="page" w:x="9583" w:y="908"/>
      <w:overflowPunct w:val="0"/>
      <w:autoSpaceDE w:val="0"/>
      <w:autoSpaceDN w:val="0"/>
      <w:adjustRightInd w:val="0"/>
      <w:spacing w:line="284" w:lineRule="exact"/>
      <w:textAlignment w:val="baseline"/>
    </w:pPr>
    <w:rPr>
      <w:rFonts w:ascii="Arial" w:hAnsi="Arial"/>
      <w:b/>
      <w:noProof/>
      <w:sz w:val="22"/>
    </w:rPr>
  </w:style>
  <w:style w:type="paragraph" w:customStyle="1" w:styleId="AppendixTitle">
    <w:name w:val="Appendix Title"/>
    <w:basedOn w:val="Normal"/>
    <w:rsid w:val="0092232B"/>
    <w:pPr>
      <w:spacing w:line="280" w:lineRule="atLeast"/>
    </w:pPr>
    <w:rPr>
      <w:spacing w:val="-2"/>
      <w:sz w:val="18"/>
    </w:rPr>
  </w:style>
  <w:style w:type="paragraph" w:customStyle="1" w:styleId="Bibliographyreference">
    <w:name w:val="Bibliography reference"/>
    <w:basedOn w:val="Normal"/>
    <w:rsid w:val="0092232B"/>
    <w:pPr>
      <w:spacing w:line="280" w:lineRule="atLeast"/>
      <w:ind w:left="446" w:hanging="446"/>
    </w:pPr>
    <w:rPr>
      <w:spacing w:val="-2"/>
    </w:rPr>
  </w:style>
  <w:style w:type="paragraph" w:customStyle="1" w:styleId="Callout">
    <w:name w:val="Callout"/>
    <w:basedOn w:val="Normal"/>
    <w:next w:val="Normal"/>
    <w:rsid w:val="0092232B"/>
    <w:pPr>
      <w:framePr w:w="2098" w:hSpace="181" w:vSpace="181" w:wrap="around" w:hAnchor="page" w:x="9583" w:yAlign="center"/>
      <w:spacing w:line="480" w:lineRule="auto"/>
    </w:pPr>
    <w:rPr>
      <w:rFonts w:ascii="Arial Narrow" w:hAnsi="Arial Narrow"/>
      <w:spacing w:val="-2"/>
      <w:sz w:val="28"/>
    </w:rPr>
  </w:style>
  <w:style w:type="paragraph" w:customStyle="1" w:styleId="CaptionTopRight">
    <w:name w:val="Caption TopRight"/>
    <w:basedOn w:val="Normal"/>
    <w:rsid w:val="0092232B"/>
    <w:pPr>
      <w:framePr w:w="2098" w:wrap="around" w:vAnchor="page" w:hAnchor="page" w:x="9583" w:y="7344"/>
      <w:spacing w:line="240" w:lineRule="auto"/>
    </w:pPr>
    <w:rPr>
      <w:spacing w:val="-2"/>
      <w:sz w:val="14"/>
    </w:rPr>
  </w:style>
  <w:style w:type="character" w:styleId="CommentReference">
    <w:name w:val="annotation reference"/>
    <w:basedOn w:val="DefaultParagraphFont"/>
    <w:uiPriority w:val="99"/>
    <w:semiHidden/>
    <w:rsid w:val="00A91909"/>
    <w:rPr>
      <w:sz w:val="16"/>
    </w:rPr>
  </w:style>
  <w:style w:type="character" w:styleId="EndnoteReference">
    <w:name w:val="endnote reference"/>
    <w:basedOn w:val="DefaultParagraphFont"/>
    <w:semiHidden/>
    <w:rsid w:val="0092232B"/>
    <w:rPr>
      <w:vertAlign w:val="superscript"/>
    </w:rPr>
  </w:style>
  <w:style w:type="character" w:styleId="FootnoteReference">
    <w:name w:val="footnote reference"/>
    <w:basedOn w:val="DefaultParagraphFont"/>
    <w:semiHidden/>
    <w:rsid w:val="0092232B"/>
    <w:rPr>
      <w:vertAlign w:val="superscript"/>
    </w:rPr>
  </w:style>
  <w:style w:type="paragraph" w:styleId="FootnoteText">
    <w:name w:val="footnote text"/>
    <w:basedOn w:val="Normal"/>
    <w:semiHidden/>
    <w:rsid w:val="0092232B"/>
    <w:pPr>
      <w:spacing w:line="280" w:lineRule="atLeast"/>
    </w:pPr>
    <w:rPr>
      <w:spacing w:val="-2"/>
    </w:rPr>
  </w:style>
  <w:style w:type="paragraph" w:styleId="List">
    <w:name w:val="List"/>
    <w:basedOn w:val="Normal"/>
    <w:rsid w:val="009243D9"/>
    <w:pPr>
      <w:spacing w:line="280" w:lineRule="atLeast"/>
      <w:ind w:left="641" w:hanging="357"/>
    </w:pPr>
    <w:rPr>
      <w:rFonts w:ascii="Arial Narrow" w:hAnsi="Arial Narrow"/>
      <w:color w:val="007EA2"/>
      <w:spacing w:val="-2"/>
      <w:sz w:val="18"/>
      <w:szCs w:val="18"/>
    </w:rPr>
  </w:style>
  <w:style w:type="paragraph" w:styleId="ListBullet2">
    <w:name w:val="List Bullet 2"/>
    <w:basedOn w:val="Normal"/>
    <w:rsid w:val="0058205C"/>
    <w:pPr>
      <w:numPr>
        <w:numId w:val="8"/>
      </w:numPr>
      <w:spacing w:after="120" w:line="240" w:lineRule="auto"/>
    </w:pPr>
    <w:rPr>
      <w:spacing w:val="-2"/>
      <w:sz w:val="18"/>
    </w:rPr>
  </w:style>
  <w:style w:type="paragraph" w:styleId="ListContinue">
    <w:name w:val="List Continue"/>
    <w:basedOn w:val="Normal"/>
    <w:rsid w:val="0092232B"/>
    <w:pPr>
      <w:spacing w:line="280" w:lineRule="atLeast"/>
    </w:pPr>
    <w:rPr>
      <w:spacing w:val="-2"/>
    </w:rPr>
  </w:style>
  <w:style w:type="paragraph" w:customStyle="1" w:styleId="MajorHeading">
    <w:name w:val="Major Heading"/>
    <w:basedOn w:val="Normal"/>
    <w:next w:val="Normal"/>
    <w:rsid w:val="0092232B"/>
    <w:pPr>
      <w:pBdr>
        <w:bottom w:val="single" w:sz="18" w:space="1" w:color="auto"/>
      </w:pBdr>
      <w:tabs>
        <w:tab w:val="right" w:pos="9000"/>
      </w:tabs>
      <w:suppressAutoHyphens/>
      <w:spacing w:line="280" w:lineRule="atLeast"/>
    </w:pPr>
    <w:rPr>
      <w:b/>
      <w:spacing w:val="-3"/>
      <w:sz w:val="28"/>
    </w:rPr>
  </w:style>
  <w:style w:type="paragraph" w:customStyle="1" w:styleId="PhotoIn-line">
    <w:name w:val="Photo In-line"/>
    <w:basedOn w:val="Normal"/>
    <w:rsid w:val="0092232B"/>
    <w:pPr>
      <w:framePr w:w="3572" w:h="3918" w:hRule="exact" w:wrap="notBeside" w:hAnchor="text" w:yAlign="bottom"/>
      <w:spacing w:line="240" w:lineRule="auto"/>
    </w:pPr>
    <w:rPr>
      <w:spacing w:val="-2"/>
    </w:rPr>
  </w:style>
  <w:style w:type="paragraph" w:customStyle="1" w:styleId="PhotoTopRight">
    <w:name w:val="Photo TopRight"/>
    <w:basedOn w:val="Normal"/>
    <w:rsid w:val="0092232B"/>
    <w:pPr>
      <w:framePr w:w="6237" w:h="4201" w:hRule="exact" w:hSpace="181" w:vSpace="280" w:wrap="around" w:hAnchor="page" w:x="5388" w:yAlign="top"/>
      <w:spacing w:line="240" w:lineRule="auto"/>
    </w:pPr>
    <w:rPr>
      <w:spacing w:val="-2"/>
      <w:sz w:val="15"/>
    </w:rPr>
  </w:style>
  <w:style w:type="paragraph" w:customStyle="1" w:styleId="Subhead">
    <w:name w:val="Subhead"/>
    <w:basedOn w:val="Headline"/>
    <w:rsid w:val="0092232B"/>
    <w:pPr>
      <w:framePr w:w="2381" w:hRule="auto" w:wrap="around" w:x="9300" w:y="1872"/>
      <w:spacing w:line="240" w:lineRule="auto"/>
    </w:pPr>
    <w:rPr>
      <w:sz w:val="18"/>
    </w:rPr>
  </w:style>
  <w:style w:type="paragraph" w:styleId="TableofFigures">
    <w:name w:val="table of figures"/>
    <w:basedOn w:val="TOC2"/>
    <w:next w:val="Normal"/>
    <w:semiHidden/>
    <w:rsid w:val="0092232B"/>
    <w:pPr>
      <w:numPr>
        <w:numId w:val="9"/>
      </w:numPr>
      <w:tabs>
        <w:tab w:val="clear" w:pos="1152"/>
        <w:tab w:val="num" w:pos="360"/>
        <w:tab w:val="right" w:leader="dot" w:pos="7541"/>
      </w:tabs>
      <w:ind w:left="0" w:firstLine="0"/>
    </w:pPr>
  </w:style>
  <w:style w:type="paragraph" w:styleId="TOC2">
    <w:name w:val="toc 2"/>
    <w:basedOn w:val="Normal"/>
    <w:semiHidden/>
    <w:rsid w:val="0092232B"/>
    <w:pPr>
      <w:tabs>
        <w:tab w:val="right" w:pos="7541"/>
      </w:tabs>
      <w:spacing w:after="200" w:line="240" w:lineRule="auto"/>
      <w:ind w:left="567" w:right="567"/>
    </w:pPr>
    <w:rPr>
      <w:rFonts w:ascii="Frutiger Roman" w:hAnsi="Frutiger Roman"/>
      <w:noProof/>
      <w:spacing w:val="-2"/>
      <w:sz w:val="18"/>
    </w:rPr>
  </w:style>
  <w:style w:type="paragraph" w:styleId="TOC1">
    <w:name w:val="toc 1"/>
    <w:basedOn w:val="Normal"/>
    <w:next w:val="TOC2"/>
    <w:semiHidden/>
    <w:rsid w:val="0092232B"/>
    <w:pPr>
      <w:tabs>
        <w:tab w:val="right" w:pos="7541"/>
      </w:tabs>
      <w:spacing w:before="120" w:after="200" w:line="240" w:lineRule="auto"/>
      <w:ind w:right="567"/>
    </w:pPr>
    <w:rPr>
      <w:rFonts w:ascii="Frutiger Bold" w:hAnsi="Frutiger Bold"/>
      <w:noProof/>
      <w:spacing w:val="-2"/>
    </w:rPr>
  </w:style>
  <w:style w:type="paragraph" w:styleId="TOC3">
    <w:name w:val="toc 3"/>
    <w:basedOn w:val="Normal"/>
    <w:next w:val="Normal"/>
    <w:semiHidden/>
    <w:rsid w:val="0092232B"/>
    <w:pPr>
      <w:tabs>
        <w:tab w:val="right" w:pos="7541"/>
      </w:tabs>
      <w:spacing w:after="200" w:line="240" w:lineRule="auto"/>
      <w:ind w:left="1134" w:right="567"/>
    </w:pPr>
    <w:rPr>
      <w:rFonts w:ascii="Frutiger Roman" w:hAnsi="Frutiger Roman"/>
      <w:spacing w:val="-2"/>
      <w:sz w:val="18"/>
    </w:rPr>
  </w:style>
  <w:style w:type="paragraph" w:styleId="TOC4">
    <w:name w:val="toc 4"/>
    <w:basedOn w:val="Normal"/>
    <w:next w:val="Normal"/>
    <w:semiHidden/>
    <w:rsid w:val="0092232B"/>
    <w:pPr>
      <w:tabs>
        <w:tab w:val="right" w:pos="7541"/>
      </w:tabs>
      <w:spacing w:line="280" w:lineRule="atLeast"/>
      <w:ind w:left="440"/>
    </w:pPr>
    <w:rPr>
      <w:spacing w:val="-2"/>
    </w:rPr>
  </w:style>
  <w:style w:type="paragraph" w:styleId="TOC5">
    <w:name w:val="toc 5"/>
    <w:basedOn w:val="Normal"/>
    <w:next w:val="Normal"/>
    <w:semiHidden/>
    <w:rsid w:val="0092232B"/>
    <w:pPr>
      <w:tabs>
        <w:tab w:val="right" w:pos="7541"/>
      </w:tabs>
      <w:spacing w:line="280" w:lineRule="atLeast"/>
      <w:ind w:left="660"/>
    </w:pPr>
    <w:rPr>
      <w:spacing w:val="-2"/>
    </w:rPr>
  </w:style>
  <w:style w:type="paragraph" w:styleId="TOC6">
    <w:name w:val="toc 6"/>
    <w:basedOn w:val="Normal"/>
    <w:next w:val="Normal"/>
    <w:semiHidden/>
    <w:rsid w:val="00A91909"/>
    <w:pPr>
      <w:tabs>
        <w:tab w:val="right" w:pos="7541"/>
      </w:tabs>
      <w:spacing w:line="280" w:lineRule="atLeast"/>
      <w:ind w:left="880"/>
    </w:pPr>
    <w:rPr>
      <w:spacing w:val="-2"/>
    </w:rPr>
  </w:style>
  <w:style w:type="paragraph" w:styleId="TOC7">
    <w:name w:val="toc 7"/>
    <w:basedOn w:val="Normal"/>
    <w:next w:val="Normal"/>
    <w:semiHidden/>
    <w:rsid w:val="00A91909"/>
    <w:pPr>
      <w:tabs>
        <w:tab w:val="right" w:pos="7541"/>
      </w:tabs>
      <w:spacing w:line="280" w:lineRule="atLeast"/>
      <w:ind w:left="1100"/>
    </w:pPr>
    <w:rPr>
      <w:spacing w:val="-2"/>
    </w:rPr>
  </w:style>
  <w:style w:type="paragraph" w:styleId="TOC8">
    <w:name w:val="toc 8"/>
    <w:basedOn w:val="Normal"/>
    <w:next w:val="Normal"/>
    <w:semiHidden/>
    <w:rsid w:val="00A91909"/>
    <w:pPr>
      <w:tabs>
        <w:tab w:val="right" w:pos="7541"/>
      </w:tabs>
      <w:spacing w:line="280" w:lineRule="atLeast"/>
      <w:ind w:left="1320"/>
    </w:pPr>
    <w:rPr>
      <w:spacing w:val="-2"/>
    </w:rPr>
  </w:style>
  <w:style w:type="paragraph" w:styleId="TOC9">
    <w:name w:val="toc 9"/>
    <w:basedOn w:val="Normal"/>
    <w:next w:val="Normal"/>
    <w:semiHidden/>
    <w:rsid w:val="00A91909"/>
    <w:pPr>
      <w:tabs>
        <w:tab w:val="right" w:pos="7541"/>
      </w:tabs>
      <w:spacing w:line="280" w:lineRule="atLeast"/>
      <w:ind w:left="1540"/>
    </w:pPr>
    <w:rPr>
      <w:spacing w:val="-2"/>
    </w:rPr>
  </w:style>
  <w:style w:type="paragraph" w:customStyle="1" w:styleId="AppendixA">
    <w:name w:val="Appendix A"/>
    <w:basedOn w:val="Normal"/>
    <w:autoRedefine/>
    <w:rsid w:val="0092232B"/>
    <w:pPr>
      <w:spacing w:line="240" w:lineRule="exact"/>
    </w:pPr>
    <w:rPr>
      <w:b/>
      <w:spacing w:val="-4"/>
    </w:rPr>
  </w:style>
  <w:style w:type="paragraph" w:styleId="BalloonText">
    <w:name w:val="Balloon Text"/>
    <w:basedOn w:val="Normal"/>
    <w:semiHidden/>
    <w:rsid w:val="0092232B"/>
    <w:rPr>
      <w:rFonts w:ascii="Tahoma" w:hAnsi="Tahoma" w:cs="Tahoma"/>
      <w:sz w:val="16"/>
      <w:szCs w:val="16"/>
    </w:rPr>
  </w:style>
  <w:style w:type="paragraph" w:styleId="BodyText">
    <w:name w:val="Body Text"/>
    <w:basedOn w:val="Normal"/>
    <w:rsid w:val="009243D9"/>
    <w:rPr>
      <w:rFonts w:ascii="Arial Narrow" w:hAnsi="Arial Narrow"/>
      <w:color w:val="007EA2"/>
      <w:sz w:val="24"/>
      <w:szCs w:val="24"/>
    </w:rPr>
  </w:style>
  <w:style w:type="character" w:styleId="FollowedHyperlink">
    <w:name w:val="FollowedHyperlink"/>
    <w:basedOn w:val="DefaultParagraphFont"/>
    <w:rsid w:val="0092232B"/>
    <w:rPr>
      <w:color w:val="800080"/>
      <w:u w:val="single"/>
    </w:rPr>
  </w:style>
  <w:style w:type="character" w:styleId="Hyperlink">
    <w:name w:val="Hyperlink"/>
    <w:basedOn w:val="DefaultParagraphFont"/>
    <w:uiPriority w:val="99"/>
    <w:rsid w:val="0092232B"/>
    <w:rPr>
      <w:color w:val="0000FF"/>
      <w:u w:val="single"/>
    </w:rPr>
  </w:style>
  <w:style w:type="character" w:styleId="LineNumber">
    <w:name w:val="line number"/>
    <w:basedOn w:val="DefaultParagraphFont"/>
    <w:rsid w:val="0092232B"/>
  </w:style>
  <w:style w:type="paragraph" w:customStyle="1" w:styleId="StyleArial65ptBefore1275pt">
    <w:name w:val="Style Arial 6.5 pt Before:  12.75 pt"/>
    <w:basedOn w:val="Normal"/>
    <w:autoRedefine/>
    <w:rsid w:val="0092232B"/>
    <w:pPr>
      <w:spacing w:before="255"/>
    </w:pPr>
    <w:rPr>
      <w:sz w:val="13"/>
    </w:rPr>
  </w:style>
  <w:style w:type="character" w:customStyle="1" w:styleId="StyleArial7pt">
    <w:name w:val="Style Arial 7 pt"/>
    <w:basedOn w:val="DefaultParagraphFont"/>
    <w:rsid w:val="0092232B"/>
    <w:rPr>
      <w:rFonts w:ascii="Arial" w:hAnsi="Arial"/>
      <w:sz w:val="14"/>
    </w:rPr>
  </w:style>
  <w:style w:type="paragraph" w:customStyle="1" w:styleId="StyleArial7ptLinespacingExactly12pt">
    <w:name w:val="Style Arial 7 pt Line spacing:  Exactly 12 pt"/>
    <w:basedOn w:val="Normal"/>
    <w:rsid w:val="0092232B"/>
    <w:pPr>
      <w:spacing w:line="240" w:lineRule="exact"/>
    </w:pPr>
    <w:rPr>
      <w:sz w:val="14"/>
    </w:rPr>
  </w:style>
  <w:style w:type="paragraph" w:customStyle="1" w:styleId="StyleARIAL75ptLinespacingsingle">
    <w:name w:val="Style ARIAL 7.5 pt Line spacing:  single"/>
    <w:basedOn w:val="Normal"/>
    <w:autoRedefine/>
    <w:rsid w:val="0092232B"/>
    <w:pPr>
      <w:spacing w:line="240" w:lineRule="auto"/>
    </w:pPr>
    <w:rPr>
      <w:sz w:val="15"/>
    </w:rPr>
  </w:style>
  <w:style w:type="character" w:styleId="PlaceholderText">
    <w:name w:val="Placeholder Text"/>
    <w:basedOn w:val="DefaultParagraphFont"/>
    <w:uiPriority w:val="99"/>
    <w:semiHidden/>
    <w:rsid w:val="00A83F3B"/>
    <w:rPr>
      <w:color w:val="808080"/>
    </w:rPr>
  </w:style>
  <w:style w:type="paragraph" w:styleId="ListParagraph">
    <w:name w:val="List Paragraph"/>
    <w:basedOn w:val="Normal"/>
    <w:uiPriority w:val="34"/>
    <w:qFormat/>
    <w:rsid w:val="00200013"/>
    <w:pPr>
      <w:ind w:left="720"/>
      <w:contextualSpacing/>
    </w:pPr>
  </w:style>
  <w:style w:type="paragraph" w:customStyle="1" w:styleId="Default">
    <w:name w:val="Default"/>
    <w:rsid w:val="00D80F77"/>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rsid w:val="00D80F7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D80F77"/>
    <w:rPr>
      <w:rFonts w:ascii="Tahoma" w:hAnsi="Tahoma" w:cs="Tahoma"/>
      <w:sz w:val="16"/>
      <w:szCs w:val="16"/>
    </w:rPr>
  </w:style>
  <w:style w:type="paragraph" w:styleId="CommentText">
    <w:name w:val="annotation text"/>
    <w:basedOn w:val="Normal"/>
    <w:link w:val="CommentTextChar"/>
    <w:uiPriority w:val="99"/>
    <w:rsid w:val="00A725A1"/>
    <w:pPr>
      <w:spacing w:line="240" w:lineRule="auto"/>
    </w:pPr>
  </w:style>
  <w:style w:type="character" w:customStyle="1" w:styleId="CommentTextChar">
    <w:name w:val="Comment Text Char"/>
    <w:basedOn w:val="DefaultParagraphFont"/>
    <w:link w:val="CommentText"/>
    <w:uiPriority w:val="99"/>
    <w:rsid w:val="00A725A1"/>
    <w:rPr>
      <w:rFonts w:ascii="Arial" w:hAnsi="Arial"/>
    </w:rPr>
  </w:style>
  <w:style w:type="paragraph" w:styleId="CommentSubject">
    <w:name w:val="annotation subject"/>
    <w:basedOn w:val="CommentText"/>
    <w:next w:val="CommentText"/>
    <w:link w:val="CommentSubjectChar"/>
    <w:rsid w:val="00A725A1"/>
    <w:rPr>
      <w:b/>
      <w:bCs/>
    </w:rPr>
  </w:style>
  <w:style w:type="character" w:customStyle="1" w:styleId="CommentSubjectChar">
    <w:name w:val="Comment Subject Char"/>
    <w:basedOn w:val="CommentTextChar"/>
    <w:link w:val="CommentSubject"/>
    <w:rsid w:val="00A725A1"/>
    <w:rPr>
      <w:rFonts w:ascii="Arial" w:hAnsi="Arial"/>
      <w:b/>
      <w:bCs/>
    </w:rPr>
  </w:style>
  <w:style w:type="character" w:styleId="Strong">
    <w:name w:val="Strong"/>
    <w:basedOn w:val="DefaultParagraphFont"/>
    <w:qFormat/>
    <w:rsid w:val="00EA4C3C"/>
    <w:rPr>
      <w:b/>
      <w:bCs/>
    </w:rPr>
  </w:style>
  <w:style w:type="table" w:styleId="TableGrid">
    <w:name w:val="Table Grid"/>
    <w:basedOn w:val="TableNormal"/>
    <w:rsid w:val="00BE44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1504D4"/>
    <w:rPr>
      <w:rFonts w:ascii="Arial" w:hAnsi="Arial"/>
      <w:sz w:val="10"/>
    </w:rPr>
  </w:style>
  <w:style w:type="character" w:customStyle="1" w:styleId="HeaderChar">
    <w:name w:val="Header Char"/>
    <w:basedOn w:val="DefaultParagraphFont"/>
    <w:link w:val="Header"/>
    <w:uiPriority w:val="99"/>
    <w:rsid w:val="00E93CE8"/>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3D9"/>
    <w:pPr>
      <w:overflowPunct w:val="0"/>
      <w:autoSpaceDE w:val="0"/>
      <w:autoSpaceDN w:val="0"/>
      <w:adjustRightInd w:val="0"/>
      <w:spacing w:after="280" w:line="280" w:lineRule="exact"/>
      <w:textAlignment w:val="baseline"/>
    </w:pPr>
    <w:rPr>
      <w:rFonts w:ascii="Arial" w:hAnsi="Arial"/>
    </w:rPr>
  </w:style>
  <w:style w:type="paragraph" w:styleId="Heading1">
    <w:name w:val="heading 1"/>
    <w:basedOn w:val="Normal"/>
    <w:next w:val="Normal"/>
    <w:qFormat/>
    <w:rsid w:val="0092232B"/>
    <w:pPr>
      <w:keepNext/>
      <w:keepLines/>
      <w:spacing w:line="280" w:lineRule="atLeast"/>
      <w:outlineLvl w:val="0"/>
    </w:pPr>
    <w:rPr>
      <w:rFonts w:cs="Arial"/>
      <w:b/>
      <w:bCs/>
      <w:kern w:val="28"/>
      <w:szCs w:val="32"/>
    </w:rPr>
  </w:style>
  <w:style w:type="paragraph" w:styleId="Heading2">
    <w:name w:val="heading 2"/>
    <w:basedOn w:val="Heading1"/>
    <w:next w:val="Normal"/>
    <w:qFormat/>
    <w:rsid w:val="0092232B"/>
    <w:pPr>
      <w:outlineLvl w:val="1"/>
    </w:pPr>
    <w:rPr>
      <w:b w:val="0"/>
      <w:bCs w:val="0"/>
      <w:iCs/>
      <w:sz w:val="18"/>
      <w:szCs w:val="28"/>
    </w:rPr>
  </w:style>
  <w:style w:type="paragraph" w:styleId="Heading3">
    <w:name w:val="heading 3"/>
    <w:basedOn w:val="Normal"/>
    <w:next w:val="Normal"/>
    <w:qFormat/>
    <w:rsid w:val="0092232B"/>
    <w:pPr>
      <w:keepNext/>
      <w:spacing w:line="280" w:lineRule="atLeast"/>
      <w:outlineLvl w:val="2"/>
    </w:pPr>
    <w:rPr>
      <w:rFonts w:cs="Arial"/>
      <w:bCs/>
      <w:sz w:val="18"/>
      <w:szCs w:val="26"/>
    </w:rPr>
  </w:style>
  <w:style w:type="paragraph" w:styleId="Heading4">
    <w:name w:val="heading 4"/>
    <w:basedOn w:val="Normal"/>
    <w:next w:val="Normal"/>
    <w:qFormat/>
    <w:rsid w:val="0092232B"/>
    <w:pPr>
      <w:keepNext/>
      <w:spacing w:after="240" w:line="280" w:lineRule="atLeast"/>
      <w:outlineLvl w:val="3"/>
    </w:pPr>
    <w:rPr>
      <w:bCs/>
      <w:i/>
      <w:sz w:val="18"/>
      <w:szCs w:val="28"/>
    </w:rPr>
  </w:style>
  <w:style w:type="paragraph" w:styleId="Heading5">
    <w:name w:val="heading 5"/>
    <w:basedOn w:val="Normal"/>
    <w:next w:val="Normal"/>
    <w:qFormat/>
    <w:rsid w:val="0092232B"/>
    <w:pPr>
      <w:spacing w:before="240" w:after="60"/>
      <w:outlineLvl w:val="4"/>
    </w:pPr>
    <w:rPr>
      <w:bCs/>
      <w:iCs/>
      <w:sz w:val="18"/>
      <w:szCs w:val="26"/>
    </w:rPr>
  </w:style>
  <w:style w:type="paragraph" w:styleId="Heading6">
    <w:name w:val="heading 6"/>
    <w:basedOn w:val="Normal"/>
    <w:next w:val="Normal"/>
    <w:qFormat/>
    <w:rsid w:val="0092232B"/>
    <w:pPr>
      <w:spacing w:before="240" w:after="60"/>
      <w:outlineLvl w:val="5"/>
    </w:pPr>
    <w:rPr>
      <w:bCs/>
      <w:i/>
      <w:sz w:val="18"/>
      <w:szCs w:val="22"/>
    </w:rPr>
  </w:style>
  <w:style w:type="paragraph" w:styleId="Heading7">
    <w:name w:val="heading 7"/>
    <w:basedOn w:val="Normal"/>
    <w:next w:val="Normal"/>
    <w:qFormat/>
    <w:rsid w:val="0092232B"/>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2232B"/>
    <w:pPr>
      <w:tabs>
        <w:tab w:val="center" w:pos="4536"/>
        <w:tab w:val="right" w:pos="9072"/>
      </w:tabs>
    </w:pPr>
  </w:style>
  <w:style w:type="paragraph" w:styleId="Footer">
    <w:name w:val="footer"/>
    <w:basedOn w:val="Normal"/>
    <w:link w:val="FooterChar"/>
    <w:uiPriority w:val="99"/>
    <w:rsid w:val="0092232B"/>
    <w:pPr>
      <w:tabs>
        <w:tab w:val="left" w:pos="8165"/>
      </w:tabs>
    </w:pPr>
    <w:rPr>
      <w:sz w:val="10"/>
    </w:rPr>
  </w:style>
  <w:style w:type="character" w:styleId="PageNumber">
    <w:name w:val="page number"/>
    <w:basedOn w:val="DefaultParagraphFont"/>
    <w:rsid w:val="0092232B"/>
  </w:style>
  <w:style w:type="paragraph" w:styleId="ListBullet">
    <w:name w:val="List Bullet"/>
    <w:basedOn w:val="Normal"/>
    <w:rsid w:val="009243D9"/>
    <w:pPr>
      <w:numPr>
        <w:numId w:val="12"/>
      </w:numPr>
      <w:spacing w:line="280" w:lineRule="atLeast"/>
    </w:pPr>
    <w:rPr>
      <w:spacing w:val="-2"/>
    </w:rPr>
  </w:style>
  <w:style w:type="paragraph" w:customStyle="1" w:styleId="TableHeading">
    <w:name w:val="Table Heading"/>
    <w:basedOn w:val="Normal"/>
    <w:rsid w:val="0092232B"/>
    <w:pPr>
      <w:keepNext/>
      <w:spacing w:before="60" w:after="60" w:line="240" w:lineRule="auto"/>
    </w:pPr>
    <w:rPr>
      <w:b/>
      <w:spacing w:val="-3"/>
      <w:sz w:val="18"/>
    </w:rPr>
  </w:style>
  <w:style w:type="paragraph" w:customStyle="1" w:styleId="TableText">
    <w:name w:val="Table Text"/>
    <w:basedOn w:val="Normal"/>
    <w:rsid w:val="0092232B"/>
    <w:pPr>
      <w:spacing w:before="60" w:after="60" w:line="240" w:lineRule="auto"/>
    </w:pPr>
    <w:rPr>
      <w:spacing w:val="-3"/>
      <w:sz w:val="18"/>
    </w:rPr>
  </w:style>
  <w:style w:type="paragraph" w:customStyle="1" w:styleId="Confidentialitystatement">
    <w:name w:val="Confidentiality statement"/>
    <w:basedOn w:val="Normal"/>
    <w:rsid w:val="0092232B"/>
    <w:pPr>
      <w:framePr w:w="7533" w:hSpace="187" w:vSpace="187" w:wrap="around" w:vAnchor="page" w:hAnchor="margin" w:y="1873"/>
    </w:pPr>
    <w:rPr>
      <w:i/>
      <w:noProof/>
      <w:spacing w:val="-2"/>
      <w:sz w:val="16"/>
    </w:rPr>
  </w:style>
  <w:style w:type="paragraph" w:styleId="BodyText2">
    <w:name w:val="Body Text 2"/>
    <w:basedOn w:val="Normal"/>
    <w:rsid w:val="001F6A4A"/>
    <w:pPr>
      <w:pBdr>
        <w:top w:val="single" w:sz="12" w:space="4" w:color="007EA2"/>
        <w:bottom w:val="single" w:sz="12" w:space="4" w:color="007EA2"/>
      </w:pBdr>
      <w:shd w:val="solid" w:color="E6E6E6" w:fill="auto"/>
      <w:overflowPunct/>
      <w:autoSpaceDE/>
      <w:autoSpaceDN/>
      <w:adjustRightInd/>
      <w:textAlignment w:val="auto"/>
    </w:pPr>
    <w:rPr>
      <w:b/>
      <w:bCs/>
      <w:spacing w:val="-2"/>
      <w:sz w:val="18"/>
    </w:rPr>
  </w:style>
  <w:style w:type="paragraph" w:customStyle="1" w:styleId="Footer-Confidentiality">
    <w:name w:val="Footer-Confidentiality"/>
    <w:basedOn w:val="Footer"/>
    <w:autoRedefine/>
    <w:rsid w:val="0092232B"/>
    <w:pPr>
      <w:tabs>
        <w:tab w:val="right" w:pos="10206"/>
      </w:tabs>
      <w:spacing w:line="200" w:lineRule="exact"/>
    </w:pPr>
    <w:rPr>
      <w:i/>
      <w:spacing w:val="-2"/>
      <w:sz w:val="16"/>
    </w:rPr>
  </w:style>
  <w:style w:type="paragraph" w:customStyle="1" w:styleId="Footer-Pathname">
    <w:name w:val="Footer-Pathname"/>
    <w:basedOn w:val="Footer"/>
    <w:autoRedefine/>
    <w:rsid w:val="00F01611"/>
    <w:pPr>
      <w:tabs>
        <w:tab w:val="right" w:pos="10206"/>
      </w:tabs>
      <w:spacing w:after="0" w:line="240" w:lineRule="auto"/>
    </w:pPr>
    <w:rPr>
      <w:rFonts w:ascii="Arial Narrow" w:hAnsi="Arial Narrow"/>
      <w:noProof/>
      <w:spacing w:val="-2"/>
      <w:sz w:val="12"/>
      <w:szCs w:val="12"/>
      <w:lang w:val="pt-BR"/>
    </w:rPr>
  </w:style>
  <w:style w:type="paragraph" w:customStyle="1" w:styleId="Headline">
    <w:name w:val="Headline"/>
    <w:rsid w:val="0092232B"/>
    <w:pPr>
      <w:framePr w:w="2155" w:h="851" w:hRule="exact" w:hSpace="181" w:vSpace="181" w:wrap="around" w:vAnchor="page" w:hAnchor="page" w:x="9583" w:y="908"/>
      <w:overflowPunct w:val="0"/>
      <w:autoSpaceDE w:val="0"/>
      <w:autoSpaceDN w:val="0"/>
      <w:adjustRightInd w:val="0"/>
      <w:spacing w:line="284" w:lineRule="exact"/>
      <w:textAlignment w:val="baseline"/>
    </w:pPr>
    <w:rPr>
      <w:rFonts w:ascii="Arial" w:hAnsi="Arial"/>
      <w:b/>
      <w:noProof/>
      <w:sz w:val="22"/>
    </w:rPr>
  </w:style>
  <w:style w:type="paragraph" w:customStyle="1" w:styleId="AppendixTitle">
    <w:name w:val="Appendix Title"/>
    <w:basedOn w:val="Normal"/>
    <w:rsid w:val="0092232B"/>
    <w:pPr>
      <w:spacing w:line="280" w:lineRule="atLeast"/>
    </w:pPr>
    <w:rPr>
      <w:spacing w:val="-2"/>
      <w:sz w:val="18"/>
    </w:rPr>
  </w:style>
  <w:style w:type="paragraph" w:customStyle="1" w:styleId="Bibliographyreference">
    <w:name w:val="Bibliography reference"/>
    <w:basedOn w:val="Normal"/>
    <w:rsid w:val="0092232B"/>
    <w:pPr>
      <w:spacing w:line="280" w:lineRule="atLeast"/>
      <w:ind w:left="446" w:hanging="446"/>
    </w:pPr>
    <w:rPr>
      <w:spacing w:val="-2"/>
    </w:rPr>
  </w:style>
  <w:style w:type="paragraph" w:customStyle="1" w:styleId="Callout">
    <w:name w:val="Callout"/>
    <w:basedOn w:val="Normal"/>
    <w:next w:val="Normal"/>
    <w:rsid w:val="0092232B"/>
    <w:pPr>
      <w:framePr w:w="2098" w:hSpace="181" w:vSpace="181" w:wrap="around" w:hAnchor="page" w:x="9583" w:yAlign="center"/>
      <w:spacing w:line="480" w:lineRule="auto"/>
    </w:pPr>
    <w:rPr>
      <w:rFonts w:ascii="Arial Narrow" w:hAnsi="Arial Narrow"/>
      <w:spacing w:val="-2"/>
      <w:sz w:val="28"/>
    </w:rPr>
  </w:style>
  <w:style w:type="paragraph" w:customStyle="1" w:styleId="CaptionTopRight">
    <w:name w:val="Caption TopRight"/>
    <w:basedOn w:val="Normal"/>
    <w:rsid w:val="0092232B"/>
    <w:pPr>
      <w:framePr w:w="2098" w:wrap="around" w:vAnchor="page" w:hAnchor="page" w:x="9583" w:y="7344"/>
      <w:spacing w:line="240" w:lineRule="auto"/>
    </w:pPr>
    <w:rPr>
      <w:spacing w:val="-2"/>
      <w:sz w:val="14"/>
    </w:rPr>
  </w:style>
  <w:style w:type="character" w:styleId="CommentReference">
    <w:name w:val="annotation reference"/>
    <w:basedOn w:val="DefaultParagraphFont"/>
    <w:uiPriority w:val="99"/>
    <w:semiHidden/>
    <w:rsid w:val="00A91909"/>
    <w:rPr>
      <w:sz w:val="16"/>
    </w:rPr>
  </w:style>
  <w:style w:type="character" w:styleId="EndnoteReference">
    <w:name w:val="endnote reference"/>
    <w:basedOn w:val="DefaultParagraphFont"/>
    <w:semiHidden/>
    <w:rsid w:val="0092232B"/>
    <w:rPr>
      <w:vertAlign w:val="superscript"/>
    </w:rPr>
  </w:style>
  <w:style w:type="character" w:styleId="FootnoteReference">
    <w:name w:val="footnote reference"/>
    <w:basedOn w:val="DefaultParagraphFont"/>
    <w:semiHidden/>
    <w:rsid w:val="0092232B"/>
    <w:rPr>
      <w:vertAlign w:val="superscript"/>
    </w:rPr>
  </w:style>
  <w:style w:type="paragraph" w:styleId="FootnoteText">
    <w:name w:val="footnote text"/>
    <w:basedOn w:val="Normal"/>
    <w:semiHidden/>
    <w:rsid w:val="0092232B"/>
    <w:pPr>
      <w:spacing w:line="280" w:lineRule="atLeast"/>
    </w:pPr>
    <w:rPr>
      <w:spacing w:val="-2"/>
    </w:rPr>
  </w:style>
  <w:style w:type="paragraph" w:styleId="List">
    <w:name w:val="List"/>
    <w:basedOn w:val="Normal"/>
    <w:rsid w:val="009243D9"/>
    <w:pPr>
      <w:spacing w:line="280" w:lineRule="atLeast"/>
      <w:ind w:left="641" w:hanging="357"/>
    </w:pPr>
    <w:rPr>
      <w:rFonts w:ascii="Arial Narrow" w:hAnsi="Arial Narrow"/>
      <w:color w:val="007EA2"/>
      <w:spacing w:val="-2"/>
      <w:sz w:val="18"/>
      <w:szCs w:val="18"/>
    </w:rPr>
  </w:style>
  <w:style w:type="paragraph" w:styleId="ListBullet2">
    <w:name w:val="List Bullet 2"/>
    <w:basedOn w:val="Normal"/>
    <w:rsid w:val="0058205C"/>
    <w:pPr>
      <w:numPr>
        <w:numId w:val="8"/>
      </w:numPr>
      <w:spacing w:after="120" w:line="240" w:lineRule="auto"/>
    </w:pPr>
    <w:rPr>
      <w:spacing w:val="-2"/>
      <w:sz w:val="18"/>
    </w:rPr>
  </w:style>
  <w:style w:type="paragraph" w:styleId="ListContinue">
    <w:name w:val="List Continue"/>
    <w:basedOn w:val="Normal"/>
    <w:rsid w:val="0092232B"/>
    <w:pPr>
      <w:spacing w:line="280" w:lineRule="atLeast"/>
    </w:pPr>
    <w:rPr>
      <w:spacing w:val="-2"/>
    </w:rPr>
  </w:style>
  <w:style w:type="paragraph" w:customStyle="1" w:styleId="MajorHeading">
    <w:name w:val="Major Heading"/>
    <w:basedOn w:val="Normal"/>
    <w:next w:val="Normal"/>
    <w:rsid w:val="0092232B"/>
    <w:pPr>
      <w:pBdr>
        <w:bottom w:val="single" w:sz="18" w:space="1" w:color="auto"/>
      </w:pBdr>
      <w:tabs>
        <w:tab w:val="right" w:pos="9000"/>
      </w:tabs>
      <w:suppressAutoHyphens/>
      <w:spacing w:line="280" w:lineRule="atLeast"/>
    </w:pPr>
    <w:rPr>
      <w:b/>
      <w:spacing w:val="-3"/>
      <w:sz w:val="28"/>
    </w:rPr>
  </w:style>
  <w:style w:type="paragraph" w:customStyle="1" w:styleId="PhotoIn-line">
    <w:name w:val="Photo In-line"/>
    <w:basedOn w:val="Normal"/>
    <w:rsid w:val="0092232B"/>
    <w:pPr>
      <w:framePr w:w="3572" w:h="3918" w:hRule="exact" w:wrap="notBeside" w:hAnchor="text" w:yAlign="bottom"/>
      <w:spacing w:line="240" w:lineRule="auto"/>
    </w:pPr>
    <w:rPr>
      <w:spacing w:val="-2"/>
    </w:rPr>
  </w:style>
  <w:style w:type="paragraph" w:customStyle="1" w:styleId="PhotoTopRight">
    <w:name w:val="Photo TopRight"/>
    <w:basedOn w:val="Normal"/>
    <w:rsid w:val="0092232B"/>
    <w:pPr>
      <w:framePr w:w="6237" w:h="4201" w:hRule="exact" w:hSpace="181" w:vSpace="280" w:wrap="around" w:hAnchor="page" w:x="5388" w:yAlign="top"/>
      <w:spacing w:line="240" w:lineRule="auto"/>
    </w:pPr>
    <w:rPr>
      <w:spacing w:val="-2"/>
      <w:sz w:val="15"/>
    </w:rPr>
  </w:style>
  <w:style w:type="paragraph" w:customStyle="1" w:styleId="Subhead">
    <w:name w:val="Subhead"/>
    <w:basedOn w:val="Headline"/>
    <w:rsid w:val="0092232B"/>
    <w:pPr>
      <w:framePr w:w="2381" w:hRule="auto" w:wrap="around" w:x="9300" w:y="1872"/>
      <w:spacing w:line="240" w:lineRule="auto"/>
    </w:pPr>
    <w:rPr>
      <w:sz w:val="18"/>
    </w:rPr>
  </w:style>
  <w:style w:type="paragraph" w:styleId="TableofFigures">
    <w:name w:val="table of figures"/>
    <w:basedOn w:val="TOC2"/>
    <w:next w:val="Normal"/>
    <w:semiHidden/>
    <w:rsid w:val="0092232B"/>
    <w:pPr>
      <w:numPr>
        <w:numId w:val="9"/>
      </w:numPr>
      <w:tabs>
        <w:tab w:val="clear" w:pos="1152"/>
        <w:tab w:val="num" w:pos="360"/>
        <w:tab w:val="right" w:leader="dot" w:pos="7541"/>
      </w:tabs>
      <w:ind w:left="0" w:firstLine="0"/>
    </w:pPr>
  </w:style>
  <w:style w:type="paragraph" w:styleId="TOC2">
    <w:name w:val="toc 2"/>
    <w:basedOn w:val="Normal"/>
    <w:semiHidden/>
    <w:rsid w:val="0092232B"/>
    <w:pPr>
      <w:tabs>
        <w:tab w:val="right" w:pos="7541"/>
      </w:tabs>
      <w:spacing w:after="200" w:line="240" w:lineRule="auto"/>
      <w:ind w:left="567" w:right="567"/>
    </w:pPr>
    <w:rPr>
      <w:rFonts w:ascii="Frutiger Roman" w:hAnsi="Frutiger Roman"/>
      <w:noProof/>
      <w:spacing w:val="-2"/>
      <w:sz w:val="18"/>
    </w:rPr>
  </w:style>
  <w:style w:type="paragraph" w:styleId="TOC1">
    <w:name w:val="toc 1"/>
    <w:basedOn w:val="Normal"/>
    <w:next w:val="TOC2"/>
    <w:semiHidden/>
    <w:rsid w:val="0092232B"/>
    <w:pPr>
      <w:tabs>
        <w:tab w:val="right" w:pos="7541"/>
      </w:tabs>
      <w:spacing w:before="120" w:after="200" w:line="240" w:lineRule="auto"/>
      <w:ind w:right="567"/>
    </w:pPr>
    <w:rPr>
      <w:rFonts w:ascii="Frutiger Bold" w:hAnsi="Frutiger Bold"/>
      <w:noProof/>
      <w:spacing w:val="-2"/>
    </w:rPr>
  </w:style>
  <w:style w:type="paragraph" w:styleId="TOC3">
    <w:name w:val="toc 3"/>
    <w:basedOn w:val="Normal"/>
    <w:next w:val="Normal"/>
    <w:semiHidden/>
    <w:rsid w:val="0092232B"/>
    <w:pPr>
      <w:tabs>
        <w:tab w:val="right" w:pos="7541"/>
      </w:tabs>
      <w:spacing w:after="200" w:line="240" w:lineRule="auto"/>
      <w:ind w:left="1134" w:right="567"/>
    </w:pPr>
    <w:rPr>
      <w:rFonts w:ascii="Frutiger Roman" w:hAnsi="Frutiger Roman"/>
      <w:spacing w:val="-2"/>
      <w:sz w:val="18"/>
    </w:rPr>
  </w:style>
  <w:style w:type="paragraph" w:styleId="TOC4">
    <w:name w:val="toc 4"/>
    <w:basedOn w:val="Normal"/>
    <w:next w:val="Normal"/>
    <w:semiHidden/>
    <w:rsid w:val="0092232B"/>
    <w:pPr>
      <w:tabs>
        <w:tab w:val="right" w:pos="7541"/>
      </w:tabs>
      <w:spacing w:line="280" w:lineRule="atLeast"/>
      <w:ind w:left="440"/>
    </w:pPr>
    <w:rPr>
      <w:spacing w:val="-2"/>
    </w:rPr>
  </w:style>
  <w:style w:type="paragraph" w:styleId="TOC5">
    <w:name w:val="toc 5"/>
    <w:basedOn w:val="Normal"/>
    <w:next w:val="Normal"/>
    <w:semiHidden/>
    <w:rsid w:val="0092232B"/>
    <w:pPr>
      <w:tabs>
        <w:tab w:val="right" w:pos="7541"/>
      </w:tabs>
      <w:spacing w:line="280" w:lineRule="atLeast"/>
      <w:ind w:left="660"/>
    </w:pPr>
    <w:rPr>
      <w:spacing w:val="-2"/>
    </w:rPr>
  </w:style>
  <w:style w:type="paragraph" w:styleId="TOC6">
    <w:name w:val="toc 6"/>
    <w:basedOn w:val="Normal"/>
    <w:next w:val="Normal"/>
    <w:semiHidden/>
    <w:rsid w:val="00A91909"/>
    <w:pPr>
      <w:tabs>
        <w:tab w:val="right" w:pos="7541"/>
      </w:tabs>
      <w:spacing w:line="280" w:lineRule="atLeast"/>
      <w:ind w:left="880"/>
    </w:pPr>
    <w:rPr>
      <w:spacing w:val="-2"/>
    </w:rPr>
  </w:style>
  <w:style w:type="paragraph" w:styleId="TOC7">
    <w:name w:val="toc 7"/>
    <w:basedOn w:val="Normal"/>
    <w:next w:val="Normal"/>
    <w:semiHidden/>
    <w:rsid w:val="00A91909"/>
    <w:pPr>
      <w:tabs>
        <w:tab w:val="right" w:pos="7541"/>
      </w:tabs>
      <w:spacing w:line="280" w:lineRule="atLeast"/>
      <w:ind w:left="1100"/>
    </w:pPr>
    <w:rPr>
      <w:spacing w:val="-2"/>
    </w:rPr>
  </w:style>
  <w:style w:type="paragraph" w:styleId="TOC8">
    <w:name w:val="toc 8"/>
    <w:basedOn w:val="Normal"/>
    <w:next w:val="Normal"/>
    <w:semiHidden/>
    <w:rsid w:val="00A91909"/>
    <w:pPr>
      <w:tabs>
        <w:tab w:val="right" w:pos="7541"/>
      </w:tabs>
      <w:spacing w:line="280" w:lineRule="atLeast"/>
      <w:ind w:left="1320"/>
    </w:pPr>
    <w:rPr>
      <w:spacing w:val="-2"/>
    </w:rPr>
  </w:style>
  <w:style w:type="paragraph" w:styleId="TOC9">
    <w:name w:val="toc 9"/>
    <w:basedOn w:val="Normal"/>
    <w:next w:val="Normal"/>
    <w:semiHidden/>
    <w:rsid w:val="00A91909"/>
    <w:pPr>
      <w:tabs>
        <w:tab w:val="right" w:pos="7541"/>
      </w:tabs>
      <w:spacing w:line="280" w:lineRule="atLeast"/>
      <w:ind w:left="1540"/>
    </w:pPr>
    <w:rPr>
      <w:spacing w:val="-2"/>
    </w:rPr>
  </w:style>
  <w:style w:type="paragraph" w:customStyle="1" w:styleId="AppendixA">
    <w:name w:val="Appendix A"/>
    <w:basedOn w:val="Normal"/>
    <w:autoRedefine/>
    <w:rsid w:val="0092232B"/>
    <w:pPr>
      <w:spacing w:line="240" w:lineRule="exact"/>
    </w:pPr>
    <w:rPr>
      <w:b/>
      <w:spacing w:val="-4"/>
    </w:rPr>
  </w:style>
  <w:style w:type="paragraph" w:styleId="BalloonText">
    <w:name w:val="Balloon Text"/>
    <w:basedOn w:val="Normal"/>
    <w:semiHidden/>
    <w:rsid w:val="0092232B"/>
    <w:rPr>
      <w:rFonts w:ascii="Tahoma" w:hAnsi="Tahoma" w:cs="Tahoma"/>
      <w:sz w:val="16"/>
      <w:szCs w:val="16"/>
    </w:rPr>
  </w:style>
  <w:style w:type="paragraph" w:styleId="BodyText">
    <w:name w:val="Body Text"/>
    <w:basedOn w:val="Normal"/>
    <w:rsid w:val="009243D9"/>
    <w:rPr>
      <w:rFonts w:ascii="Arial Narrow" w:hAnsi="Arial Narrow"/>
      <w:color w:val="007EA2"/>
      <w:sz w:val="24"/>
      <w:szCs w:val="24"/>
    </w:rPr>
  </w:style>
  <w:style w:type="character" w:styleId="FollowedHyperlink">
    <w:name w:val="FollowedHyperlink"/>
    <w:basedOn w:val="DefaultParagraphFont"/>
    <w:rsid w:val="0092232B"/>
    <w:rPr>
      <w:color w:val="800080"/>
      <w:u w:val="single"/>
    </w:rPr>
  </w:style>
  <w:style w:type="character" w:styleId="Hyperlink">
    <w:name w:val="Hyperlink"/>
    <w:basedOn w:val="DefaultParagraphFont"/>
    <w:uiPriority w:val="99"/>
    <w:rsid w:val="0092232B"/>
    <w:rPr>
      <w:color w:val="0000FF"/>
      <w:u w:val="single"/>
    </w:rPr>
  </w:style>
  <w:style w:type="character" w:styleId="LineNumber">
    <w:name w:val="line number"/>
    <w:basedOn w:val="DefaultParagraphFont"/>
    <w:rsid w:val="0092232B"/>
  </w:style>
  <w:style w:type="paragraph" w:customStyle="1" w:styleId="StyleArial65ptBefore1275pt">
    <w:name w:val="Style Arial 6.5 pt Before:  12.75 pt"/>
    <w:basedOn w:val="Normal"/>
    <w:autoRedefine/>
    <w:rsid w:val="0092232B"/>
    <w:pPr>
      <w:spacing w:before="255"/>
    </w:pPr>
    <w:rPr>
      <w:sz w:val="13"/>
    </w:rPr>
  </w:style>
  <w:style w:type="character" w:customStyle="1" w:styleId="StyleArial7pt">
    <w:name w:val="Style Arial 7 pt"/>
    <w:basedOn w:val="DefaultParagraphFont"/>
    <w:rsid w:val="0092232B"/>
    <w:rPr>
      <w:rFonts w:ascii="Arial" w:hAnsi="Arial"/>
      <w:sz w:val="14"/>
    </w:rPr>
  </w:style>
  <w:style w:type="paragraph" w:customStyle="1" w:styleId="StyleArial7ptLinespacingExactly12pt">
    <w:name w:val="Style Arial 7 pt Line spacing:  Exactly 12 pt"/>
    <w:basedOn w:val="Normal"/>
    <w:rsid w:val="0092232B"/>
    <w:pPr>
      <w:spacing w:line="240" w:lineRule="exact"/>
    </w:pPr>
    <w:rPr>
      <w:sz w:val="14"/>
    </w:rPr>
  </w:style>
  <w:style w:type="paragraph" w:customStyle="1" w:styleId="StyleARIAL75ptLinespacingsingle">
    <w:name w:val="Style ARIAL 7.5 pt Line spacing:  single"/>
    <w:basedOn w:val="Normal"/>
    <w:autoRedefine/>
    <w:rsid w:val="0092232B"/>
    <w:pPr>
      <w:spacing w:line="240" w:lineRule="auto"/>
    </w:pPr>
    <w:rPr>
      <w:sz w:val="15"/>
    </w:rPr>
  </w:style>
  <w:style w:type="character" w:styleId="PlaceholderText">
    <w:name w:val="Placeholder Text"/>
    <w:basedOn w:val="DefaultParagraphFont"/>
    <w:uiPriority w:val="99"/>
    <w:semiHidden/>
    <w:rsid w:val="00A83F3B"/>
    <w:rPr>
      <w:color w:val="808080"/>
    </w:rPr>
  </w:style>
  <w:style w:type="paragraph" w:styleId="ListParagraph">
    <w:name w:val="List Paragraph"/>
    <w:basedOn w:val="Normal"/>
    <w:uiPriority w:val="34"/>
    <w:qFormat/>
    <w:rsid w:val="00200013"/>
    <w:pPr>
      <w:ind w:left="720"/>
      <w:contextualSpacing/>
    </w:pPr>
  </w:style>
  <w:style w:type="paragraph" w:customStyle="1" w:styleId="Default">
    <w:name w:val="Default"/>
    <w:rsid w:val="00D80F77"/>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rsid w:val="00D80F7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D80F77"/>
    <w:rPr>
      <w:rFonts w:ascii="Tahoma" w:hAnsi="Tahoma" w:cs="Tahoma"/>
      <w:sz w:val="16"/>
      <w:szCs w:val="16"/>
    </w:rPr>
  </w:style>
  <w:style w:type="paragraph" w:styleId="CommentText">
    <w:name w:val="annotation text"/>
    <w:basedOn w:val="Normal"/>
    <w:link w:val="CommentTextChar"/>
    <w:uiPriority w:val="99"/>
    <w:rsid w:val="00A725A1"/>
    <w:pPr>
      <w:spacing w:line="240" w:lineRule="auto"/>
    </w:pPr>
  </w:style>
  <w:style w:type="character" w:customStyle="1" w:styleId="CommentTextChar">
    <w:name w:val="Comment Text Char"/>
    <w:basedOn w:val="DefaultParagraphFont"/>
    <w:link w:val="CommentText"/>
    <w:uiPriority w:val="99"/>
    <w:rsid w:val="00A725A1"/>
    <w:rPr>
      <w:rFonts w:ascii="Arial" w:hAnsi="Arial"/>
    </w:rPr>
  </w:style>
  <w:style w:type="paragraph" w:styleId="CommentSubject">
    <w:name w:val="annotation subject"/>
    <w:basedOn w:val="CommentText"/>
    <w:next w:val="CommentText"/>
    <w:link w:val="CommentSubjectChar"/>
    <w:rsid w:val="00A725A1"/>
    <w:rPr>
      <w:b/>
      <w:bCs/>
    </w:rPr>
  </w:style>
  <w:style w:type="character" w:customStyle="1" w:styleId="CommentSubjectChar">
    <w:name w:val="Comment Subject Char"/>
    <w:basedOn w:val="CommentTextChar"/>
    <w:link w:val="CommentSubject"/>
    <w:rsid w:val="00A725A1"/>
    <w:rPr>
      <w:rFonts w:ascii="Arial" w:hAnsi="Arial"/>
      <w:b/>
      <w:bCs/>
    </w:rPr>
  </w:style>
  <w:style w:type="character" w:styleId="Strong">
    <w:name w:val="Strong"/>
    <w:basedOn w:val="DefaultParagraphFont"/>
    <w:qFormat/>
    <w:rsid w:val="00EA4C3C"/>
    <w:rPr>
      <w:b/>
      <w:bCs/>
    </w:rPr>
  </w:style>
  <w:style w:type="table" w:styleId="TableGrid">
    <w:name w:val="Table Grid"/>
    <w:basedOn w:val="TableNormal"/>
    <w:rsid w:val="00BE4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504D4"/>
    <w:rPr>
      <w:rFonts w:ascii="Arial" w:hAnsi="Arial"/>
      <w:sz w:val="10"/>
    </w:rPr>
  </w:style>
  <w:style w:type="character" w:customStyle="1" w:styleId="HeaderChar">
    <w:name w:val="Header Char"/>
    <w:basedOn w:val="DefaultParagraphFont"/>
    <w:link w:val="Header"/>
    <w:uiPriority w:val="99"/>
    <w:rsid w:val="00E93CE8"/>
    <w:rPr>
      <w:rFonts w:ascii="Arial" w:hAnsi="Arial"/>
    </w:rPr>
  </w:style>
</w:styles>
</file>

<file path=word/webSettings.xml><?xml version="1.0" encoding="utf-8"?>
<w:webSettings xmlns:r="http://schemas.openxmlformats.org/officeDocument/2006/relationships" xmlns:w="http://schemas.openxmlformats.org/wordprocessingml/2006/main">
  <w:divs>
    <w:div w:id="730689128">
      <w:bodyDiv w:val="1"/>
      <w:marLeft w:val="0"/>
      <w:marRight w:val="0"/>
      <w:marTop w:val="0"/>
      <w:marBottom w:val="0"/>
      <w:divBdr>
        <w:top w:val="none" w:sz="0" w:space="0" w:color="auto"/>
        <w:left w:val="none" w:sz="0" w:space="0" w:color="auto"/>
        <w:bottom w:val="none" w:sz="0" w:space="0" w:color="auto"/>
        <w:right w:val="none" w:sz="0" w:space="0" w:color="auto"/>
      </w:divBdr>
    </w:div>
    <w:div w:id="902525460">
      <w:bodyDiv w:val="1"/>
      <w:marLeft w:val="0"/>
      <w:marRight w:val="0"/>
      <w:marTop w:val="0"/>
      <w:marBottom w:val="0"/>
      <w:divBdr>
        <w:top w:val="none" w:sz="0" w:space="0" w:color="auto"/>
        <w:left w:val="none" w:sz="0" w:space="0" w:color="auto"/>
        <w:bottom w:val="none" w:sz="0" w:space="0" w:color="auto"/>
        <w:right w:val="none" w:sz="0" w:space="0" w:color="auto"/>
      </w:divBdr>
    </w:div>
    <w:div w:id="173527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icrosoft%20Office%20Templates\Corresp\ARC_MEMOwith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92FAA-66E5-467D-A153-E22A40A83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ARC_MEMOwithlogo</Template>
  <TotalTime>2</TotalTime>
  <Pages>4</Pages>
  <Words>1605</Words>
  <Characters>9107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Memo</vt:lpstr>
    </vt:vector>
  </TitlesOfParts>
  <Company>ARCADIS</Company>
  <LinksUpToDate>false</LinksUpToDate>
  <CharactersWithSpaces>10691</CharactersWithSpaces>
  <SharedDoc>false</SharedDoc>
  <HLinks>
    <vt:vector size="6" baseType="variant">
      <vt:variant>
        <vt:i4>2949170</vt:i4>
      </vt:variant>
      <vt:variant>
        <vt:i4>23</vt:i4>
      </vt:variant>
      <vt:variant>
        <vt:i4>0</vt:i4>
      </vt:variant>
      <vt:variant>
        <vt:i4>5</vt:i4>
      </vt:variant>
      <vt:variant>
        <vt:lpwstr>http://pubs.usgs.gov/sir/2005/5275/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Timothy Negley</dc:creator>
  <cp:lastModifiedBy>Willis</cp:lastModifiedBy>
  <cp:revision>2</cp:revision>
  <cp:lastPrinted>2014-08-07T19:01:00Z</cp:lastPrinted>
  <dcterms:created xsi:type="dcterms:W3CDTF">2014-09-09T13:42:00Z</dcterms:created>
  <dcterms:modified xsi:type="dcterms:W3CDTF">2014-09-09T13:42:00Z</dcterms:modified>
  <cp:category>Correspondence</cp:category>
</cp:coreProperties>
</file>